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8"/>
        <w:gridCol w:w="5777"/>
      </w:tblGrid>
      <w:tr w:rsidR="00E8095A" w:rsidRPr="00E8095A" w:rsidTr="00FB0A4E">
        <w:tc>
          <w:tcPr>
            <w:tcW w:w="4219" w:type="dxa"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18" w:type="dxa"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№ 2</w:t>
            </w:r>
          </w:p>
          <w:p w:rsidR="00E8095A" w:rsidRPr="00E8095A" w:rsidRDefault="00E8095A" w:rsidP="00E809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муниципальной программе</w:t>
            </w:r>
          </w:p>
          <w:p w:rsidR="00E8095A" w:rsidRPr="00E8095A" w:rsidRDefault="00E8095A" w:rsidP="00E809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«Обеспечение доступным жильем</w:t>
            </w:r>
          </w:p>
          <w:p w:rsidR="00E8095A" w:rsidRPr="00E8095A" w:rsidRDefault="00E8095A" w:rsidP="00E809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качественными услугами жилищно-коммунального хозяйства населения</w:t>
            </w:r>
          </w:p>
          <w:p w:rsidR="00E8095A" w:rsidRPr="00E8095A" w:rsidRDefault="00E8095A" w:rsidP="00E809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Приморского края» на 2021-2024 годы»</w:t>
            </w:r>
          </w:p>
        </w:tc>
      </w:tr>
    </w:tbl>
    <w:p w:rsidR="00E8095A" w:rsidRPr="00E8095A" w:rsidRDefault="00E8095A" w:rsidP="00E809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Подпрограмма «Обеспечение жильем молодых семей 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Приморского края» на 2021-2024 годы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10"/>
          <w:szCs w:val="10"/>
          <w:lang w:eastAsia="ru-RU"/>
        </w:rPr>
      </w:pPr>
    </w:p>
    <w:p w:rsidR="00E8095A" w:rsidRPr="00E8095A" w:rsidRDefault="00E8095A" w:rsidP="00E809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 Программы</w:t>
      </w: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2846"/>
        <w:gridCol w:w="6928"/>
        <w:gridCol w:w="8"/>
      </w:tblGrid>
      <w:tr w:rsidR="00E8095A" w:rsidRPr="00E8095A" w:rsidTr="00FB0A4E">
        <w:trPr>
          <w:trHeight w:val="476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6936" w:type="dxa"/>
            <w:gridSpan w:val="2"/>
          </w:tcPr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Подпрограмма «Обеспечение жильем молодых семей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Приморского края» на 2021-2024 годы (далее - Подпрограмма).</w:t>
            </w:r>
          </w:p>
        </w:tc>
      </w:tr>
      <w:tr w:rsidR="00E8095A" w:rsidRPr="00E8095A" w:rsidTr="00FB0A4E">
        <w:trPr>
          <w:trHeight w:val="476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Заказчик подпрограммы</w:t>
            </w:r>
          </w:p>
        </w:tc>
        <w:tc>
          <w:tcPr>
            <w:tcW w:w="6936" w:type="dxa"/>
            <w:gridSpan w:val="2"/>
          </w:tcPr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округа.</w:t>
            </w:r>
          </w:p>
        </w:tc>
      </w:tr>
      <w:tr w:rsidR="00E8095A" w:rsidRPr="00E8095A" w:rsidTr="00FB0A4E">
        <w:trPr>
          <w:trHeight w:val="476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Координатор Подпрограммы</w:t>
            </w:r>
          </w:p>
        </w:tc>
        <w:tc>
          <w:tcPr>
            <w:tcW w:w="6936" w:type="dxa"/>
            <w:gridSpan w:val="2"/>
          </w:tcPr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округа.</w:t>
            </w:r>
          </w:p>
        </w:tc>
      </w:tr>
      <w:tr w:rsidR="00E8095A" w:rsidRPr="00E8095A" w:rsidTr="00FB0A4E">
        <w:trPr>
          <w:trHeight w:val="533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Разработчик Подпрограммы</w:t>
            </w:r>
          </w:p>
        </w:tc>
        <w:tc>
          <w:tcPr>
            <w:tcW w:w="6936" w:type="dxa"/>
            <w:gridSpan w:val="2"/>
          </w:tcPr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округа.</w:t>
            </w:r>
          </w:p>
        </w:tc>
      </w:tr>
      <w:tr w:rsidR="00E8095A" w:rsidRPr="00E8095A" w:rsidTr="00FB0A4E">
        <w:trPr>
          <w:trHeight w:val="360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Подпрограммы</w:t>
            </w:r>
          </w:p>
        </w:tc>
        <w:tc>
          <w:tcPr>
            <w:tcW w:w="6936" w:type="dxa"/>
            <w:gridSpan w:val="2"/>
          </w:tcPr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Цель Подпрограммы: </w:t>
            </w:r>
          </w:p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государственной и муниципальной финансовой поддержки в решении жилищной проблемы молодым семьям, признанным в установленном порядке, нуждающимися в улучшении жилищных условий.</w:t>
            </w:r>
          </w:p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Задачи Подпрограммы:</w:t>
            </w:r>
          </w:p>
          <w:p w:rsidR="00E8095A" w:rsidRPr="00E8095A" w:rsidRDefault="00E8095A" w:rsidP="00E8095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предоставление молодым семьям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– участникам Программы социальных выплат на приобретение (строительство) жилья;</w:t>
            </w:r>
          </w:p>
          <w:p w:rsidR="00E8095A" w:rsidRPr="00E8095A" w:rsidRDefault="00E8095A" w:rsidP="00E8095A">
            <w:pPr>
              <w:spacing w:after="0" w:line="240" w:lineRule="auto"/>
              <w:ind w:right="-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условий для активного использования ипотечного жилищного кредитования при решении жилищной проблемы молодых семей.</w:t>
            </w:r>
          </w:p>
        </w:tc>
      </w:tr>
      <w:tr w:rsidR="00E8095A" w:rsidRPr="00E8095A" w:rsidTr="00FB0A4E">
        <w:trPr>
          <w:gridAfter w:val="1"/>
          <w:wAfter w:w="8" w:type="dxa"/>
          <w:trHeight w:val="360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и этапы </w:t>
            </w:r>
            <w:proofErr w:type="spellStart"/>
            <w:proofErr w:type="gram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реализа-ции</w:t>
            </w:r>
            <w:proofErr w:type="spellEnd"/>
            <w:proofErr w:type="gram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Подпрограммы</w:t>
            </w:r>
          </w:p>
        </w:tc>
        <w:tc>
          <w:tcPr>
            <w:tcW w:w="6928" w:type="dxa"/>
          </w:tcPr>
          <w:p w:rsidR="00E8095A" w:rsidRPr="00E8095A" w:rsidRDefault="00E8095A" w:rsidP="00E8095A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2021-2024 годы в один этап.</w:t>
            </w:r>
          </w:p>
          <w:p w:rsidR="00E8095A" w:rsidRPr="00E8095A" w:rsidRDefault="00E8095A" w:rsidP="00E8095A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8095A" w:rsidRPr="00E8095A" w:rsidTr="00FB0A4E">
        <w:trPr>
          <w:gridAfter w:val="1"/>
          <w:wAfter w:w="8" w:type="dxa"/>
          <w:trHeight w:val="476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</w:p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(в текущих ценах каждого года)</w:t>
            </w:r>
          </w:p>
        </w:tc>
        <w:tc>
          <w:tcPr>
            <w:tcW w:w="6928" w:type="dxa"/>
            <w:vAlign w:val="center"/>
          </w:tcPr>
          <w:p w:rsidR="00E8095A" w:rsidRPr="00E8095A" w:rsidRDefault="00E8095A" w:rsidP="00E8095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объем финансирования мероприятий Подпрограммы составляет – 10176,017 тыс. рублей, в том числе: 2021 год –  943,752 тыс. рублей;</w:t>
            </w:r>
          </w:p>
          <w:p w:rsidR="00E8095A" w:rsidRPr="00E8095A" w:rsidRDefault="00E8095A" w:rsidP="00E8095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2022 год – 3460,426 тыс. рублей;</w:t>
            </w:r>
          </w:p>
          <w:p w:rsidR="00E8095A" w:rsidRPr="00E8095A" w:rsidRDefault="00E8095A" w:rsidP="00E8095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2023 год – 2800,405 тыс. рублей;</w:t>
            </w:r>
          </w:p>
          <w:p w:rsidR="00E8095A" w:rsidRPr="00E8095A" w:rsidRDefault="00E8095A" w:rsidP="00E8095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2024 год – 2971,434 тыс. рублей.</w:t>
            </w:r>
          </w:p>
          <w:p w:rsidR="00E8095A" w:rsidRPr="00E8095A" w:rsidRDefault="00E8095A" w:rsidP="00E8095A">
            <w:pPr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финансирования Подпрограммы за счет средств краевого бюджета осуществляется в соответствии с в соответствии с Бюджетным кодексом Российской Федерации, Правилами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</w:t>
            </w: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</w:t>
            </w:r>
            <w:proofErr w:type="gram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Федерации», Законом Приморского края от 21 декабря 2021 г. № 31-КЗ «О краевом бюджете на 2022 год и плановый период 2023 и 2024 годов», подпрограммой «Обеспечение жильем молодых семей Приморского края»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годы, утвержденной постановлением Администрации Приморского края от 30 декабря 2019 г. № 945-па</w:t>
            </w:r>
            <w:proofErr w:type="gram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 (далее - Подпрограмма), Порядком предоставления и расходования субсидий, выделяемых бюджетам муниципальных образований Приморского края на социальные выплаты молодым семьям для приобретения (строительства) стандартного жилья, утвержденным постановлением Администрации Приморского края от 30 декабря 2019 г. № 945-па «Об утверждении государственной программы Приморского края</w:t>
            </w:r>
            <w:proofErr w:type="gram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«Обеспечение доступным жильем и качественными услугами жилищно-коммунального хозяйства населения Приморского края» на 2020-2027 годы.</w:t>
            </w:r>
          </w:p>
        </w:tc>
      </w:tr>
      <w:tr w:rsidR="00E8095A" w:rsidRPr="00E8095A" w:rsidTr="00FB0A4E">
        <w:trPr>
          <w:gridAfter w:val="1"/>
          <w:wAfter w:w="8" w:type="dxa"/>
          <w:trHeight w:val="476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Целевые индикаторы </w:t>
            </w:r>
          </w:p>
        </w:tc>
        <w:tc>
          <w:tcPr>
            <w:tcW w:w="6928" w:type="dxa"/>
            <w:vAlign w:val="center"/>
          </w:tcPr>
          <w:p w:rsidR="00E8095A" w:rsidRPr="00E8095A" w:rsidRDefault="00E8095A" w:rsidP="00E8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молодых семей, улучшивших жилищные условия. </w:t>
            </w:r>
          </w:p>
        </w:tc>
      </w:tr>
      <w:tr w:rsidR="00E8095A" w:rsidRPr="00E8095A" w:rsidTr="00FB0A4E">
        <w:trPr>
          <w:gridAfter w:val="1"/>
          <w:wAfter w:w="8" w:type="dxa"/>
          <w:trHeight w:val="282"/>
          <w:jc w:val="center"/>
        </w:trPr>
        <w:tc>
          <w:tcPr>
            <w:tcW w:w="2846" w:type="dxa"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928" w:type="dxa"/>
          </w:tcPr>
          <w:p w:rsidR="00E8095A" w:rsidRPr="00E8095A" w:rsidRDefault="00E8095A" w:rsidP="00E8095A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условий для повышения уровня обеспеченности жильем молодых семей, проживающих на территории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округа;</w:t>
            </w:r>
          </w:p>
          <w:p w:rsidR="00E8095A" w:rsidRPr="00E8095A" w:rsidRDefault="00E8095A" w:rsidP="00E8095A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и закрепление положительных демографических тенденций в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Хорольском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муниципальном округе;</w:t>
            </w:r>
          </w:p>
          <w:p w:rsidR="00E8095A" w:rsidRPr="00E8095A" w:rsidRDefault="00E8095A" w:rsidP="00E8095A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привлечение в жилищную сферу дополнительных финансовых средств банков и других организаций, предоставляющих кредиты (займы), а также собственных средств молодых семей;</w:t>
            </w:r>
          </w:p>
          <w:p w:rsidR="00E8095A" w:rsidRPr="00E8095A" w:rsidRDefault="00E8095A" w:rsidP="00E8095A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семейных отношений и снижение социальной напряженности;</w:t>
            </w:r>
          </w:p>
          <w:p w:rsidR="00E8095A" w:rsidRPr="00E8095A" w:rsidRDefault="00E8095A" w:rsidP="00E8095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улучшение жилищных условий (в том числе с использованием ипотечных жилищных кредитов и займов) не менее </w:t>
            </w: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молодых семей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округа;</w:t>
            </w:r>
          </w:p>
          <w:p w:rsidR="00E8095A" w:rsidRPr="00E8095A" w:rsidRDefault="00E8095A" w:rsidP="00E8095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показатель доли молодых семей, улучшивших жилищные условия.</w:t>
            </w:r>
          </w:p>
        </w:tc>
      </w:tr>
    </w:tbl>
    <w:p w:rsidR="00E8095A" w:rsidRPr="00E8095A" w:rsidRDefault="00E8095A" w:rsidP="00E8095A">
      <w:pPr>
        <w:numPr>
          <w:ilvl w:val="0"/>
          <w:numId w:val="12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СОДЕРЖАНИЕ ПРОБЛЕМЫ И ОБОСНОВАНИЕ НЕОБХОДИМОСТИ </w:t>
      </w:r>
    </w:p>
    <w:p w:rsidR="00E8095A" w:rsidRPr="00E8095A" w:rsidRDefault="00E8095A" w:rsidP="00E80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ЕЁ РЕШЕНИЯ ПРОГРАММНЫМИ МЕТОДАМИ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и реализация Подпрограммы на территории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осуществляется 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подпрограммой «Обеспечение жильем молодых семей Приморского края», утвержденной постановлением Администрации Приморского края от 30 декабря 2019 г. № 945-па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Подпрограмма предусматривает создание системы жилищной поддержки молодых семей в целях улучшения сложившихся тенденций в демографической ситуации и решения задач кадровой политики в муниципальном округе. 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2004 по 2010 годы была реализована районная целевая программа «Квартира молодой семье» на 2004-2010 годы по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Хорольскому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району. За весь период программы 11 семей улучшили свои жилищные условия. Большинство молодых семей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по-прежнему не имеют возможности решить жилищную проблему. Как правило, молодые семьи не могут получить доступ на рынок жилья без финансовой поддержки.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финансовая помощь в покупке жилья на льготных условиях либо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роста. </w:t>
      </w:r>
    </w:p>
    <w:p w:rsidR="00E8095A" w:rsidRPr="00E8095A" w:rsidRDefault="00E8095A" w:rsidP="00E8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округе. Возможность решения жилищной проблемы создаст для молодежи стимул к повышению качества трудовой деятельности, уровня квалификации в целях роста заработной платы. Решение жилищной проблемы молодых людей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позволит сформировать экономически активный слой населения.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необходимость разработки и реализации Подпрограммы обусловлена:</w:t>
      </w:r>
    </w:p>
    <w:p w:rsidR="00E8095A" w:rsidRPr="00E8095A" w:rsidRDefault="00E8095A" w:rsidP="00E80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-социально-политической остротой проблемы и ее общефедеральным значением; </w:t>
      </w:r>
    </w:p>
    <w:p w:rsidR="00E8095A" w:rsidRPr="00E8095A" w:rsidRDefault="00E8095A" w:rsidP="00E80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-межотраслевым и межведомственным характером проблемы, необходимостью привлечения к ее решению органов законодательной и исполнительной власти на федеральном и краевом уровнях, органов местного самоуправления.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Решать обозначенные проблемы целесообразно программно-целевым методом, что позволит разработать, и реализовать комплекс взаимоувязанных по ресурсам, 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исполнителям и срокам мероприятий, направленных на совершенствование системного подхода к решению жилищной проблемы молодых семей муниципального округа.</w:t>
      </w:r>
    </w:p>
    <w:p w:rsidR="00E8095A" w:rsidRPr="00E8095A" w:rsidRDefault="00E8095A" w:rsidP="00E8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принятие Подпрограммы позволит молодым семьям улучшить жилищные условия.</w:t>
      </w:r>
    </w:p>
    <w:p w:rsidR="00E8095A" w:rsidRPr="00E8095A" w:rsidRDefault="00E8095A" w:rsidP="00E80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095A" w:rsidRPr="00E8095A" w:rsidRDefault="00E8095A" w:rsidP="00E8095A">
      <w:pPr>
        <w:numPr>
          <w:ilvl w:val="0"/>
          <w:numId w:val="12"/>
        </w:numPr>
        <w:spacing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t>ЦЕЛИ И ЗАДАЧИ ПОДПРОГРАММЫ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Подпрограммы является предоставление государственной и муниципальной финансовой поддержки в решении жилищной проблемы молодым семьям, признанным в установленном порядке, нуждающимися в улучшении жилищных условий.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достижения поставленной цели предусмотрено решение следующих задач: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предоставление молодым семьям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– участникам Программы социальных выплат на приобретение (строительство) жилья;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условий для активного использования ипотечного жилищного кредитования при решении жилищной проблемы молодых семей.</w:t>
      </w:r>
    </w:p>
    <w:p w:rsidR="00E8095A" w:rsidRPr="00E8095A" w:rsidRDefault="00E8095A" w:rsidP="00E8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095A" w:rsidRPr="00E8095A" w:rsidRDefault="00E8095A" w:rsidP="00E8095A">
      <w:pPr>
        <w:numPr>
          <w:ilvl w:val="0"/>
          <w:numId w:val="12"/>
        </w:numPr>
        <w:tabs>
          <w:tab w:val="clear" w:pos="3414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t>СРОКИ И ЭТАПЫ РЕАЛИЗАЦИИ ПОДПРОГРАММЫ</w:t>
      </w:r>
    </w:p>
    <w:p w:rsidR="00E8095A" w:rsidRPr="00E8095A" w:rsidRDefault="00E8095A" w:rsidP="00E809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реализации Подпрограммы – 2021-2024 годы в один этап.</w:t>
      </w:r>
    </w:p>
    <w:p w:rsidR="00E8095A" w:rsidRPr="00E8095A" w:rsidRDefault="00E8095A" w:rsidP="00E809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основных мероприятий Подпрограммы указан в приложении № 1 к Подпрограмме.</w:t>
      </w:r>
    </w:p>
    <w:p w:rsidR="00E8095A" w:rsidRPr="00E8095A" w:rsidRDefault="00E8095A" w:rsidP="00E809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095A" w:rsidRPr="00E8095A" w:rsidRDefault="00E8095A" w:rsidP="00E8095A">
      <w:pPr>
        <w:numPr>
          <w:ilvl w:val="0"/>
          <w:numId w:val="12"/>
        </w:numPr>
        <w:tabs>
          <w:tab w:val="clear" w:pos="3414"/>
          <w:tab w:val="num" w:pos="0"/>
        </w:tabs>
        <w:spacing w:after="0" w:line="240" w:lineRule="auto"/>
        <w:ind w:left="0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 РЕАЛИЗАЦИИ ПОДПРОГРАММЫ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 реализации Подпрограммы предполагает оказание государственной и муниципальной финансовой поддержки молодым семьям - участникам Подпрограммы в улучшении жилищных условий посредством предоставления: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субсидий, выделяемых из краевого бюджета и бюджета муниципального округа на социальные выплаты для приобретения (строительства) жилья (далее субсидии) в соответствии с Правилами, установленными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1710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социальных выплат для приобретения (строительства) жилья (далее социальные выплаты) в порядке, установленном в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приложении №2 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настоящей Подпрограмме;</w:t>
      </w:r>
    </w:p>
    <w:p w:rsidR="00E8095A" w:rsidRPr="00E8095A" w:rsidRDefault="00E8095A" w:rsidP="00E8095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дополнительных социальных выплат на приобретение (строительство) жилья (далее – дополнительные социальные выплаты) за счет сре</w:t>
      </w:r>
      <w:proofErr w:type="gram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кр</w:t>
      </w:r>
      <w:proofErr w:type="gram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аевого бюджета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пяти процентов от расчетной стоимости жилья 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(при рождении (усыновлении) одного ребенка молодой семье - участнику Подпрограммы).</w:t>
      </w:r>
    </w:p>
    <w:p w:rsidR="00E8095A" w:rsidRPr="00E8095A" w:rsidRDefault="00E8095A" w:rsidP="00E8095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социальная выплата предоставляется молодой семье в соответствии с Порядком </w:t>
      </w:r>
      <w:r w:rsidRPr="00E809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молодой семье дополнительной социальной выплаты для приобретения (строительства) жилья при рождении (усыновлении) ребенка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установленным </w:t>
      </w:r>
      <w:r w:rsidRPr="00E809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приложением №12 к </w:t>
      </w:r>
      <w:hyperlink w:anchor="sub_1000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государственной программе</w:t>
        </w:r>
      </w:hyperlink>
      <w:r w:rsidRPr="00E809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Приморского края «Обеспечение доступным жильем и качественными услугами ЖКХ населения Приморского края» на 2020-2027 годы, утвержденной </w:t>
      </w:r>
      <w:hyperlink w:anchor="sub_0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E809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Приморского края от 30 декабря 2019 г. № 945-па.</w:t>
      </w:r>
      <w:proofErr w:type="gramEnd"/>
    </w:p>
    <w:p w:rsidR="00E8095A" w:rsidRPr="00E8095A" w:rsidRDefault="00E8095A" w:rsidP="00E8095A">
      <w:pPr>
        <w:snapToGri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реализации Подпрограммы управление образования администрации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(далее – Управление):</w:t>
      </w:r>
    </w:p>
    <w:p w:rsidR="00E8095A" w:rsidRPr="00E8095A" w:rsidRDefault="00E8095A" w:rsidP="00E8095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Осуществляет сбор данных о молодых семьях, участвующих в Подпрограмме, формирует единую информационную базу данных о молодых семьях - участниках Подпрограммы. Список молодых семей – участников Подпрограммы формируется в соответствии с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приложением № 4 </w:t>
      </w:r>
      <w:r w:rsidRPr="00E809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Подпрограмме.</w:t>
      </w:r>
    </w:p>
    <w:p w:rsidR="00E8095A" w:rsidRPr="00E8095A" w:rsidRDefault="00E8095A" w:rsidP="00E8095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Выдает участникам Подпрограммы свидетельства, изготовленные департаментом по делам молодежи Приморского края, о праве на получение социальной выплаты для приобретения жилого помещения или строительства индивидуального жилого дома для молодых семей - участников Подпрограммы;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Определяет объем бюджетных ассигнований для выполнения полномочий по предоставлению социальных выплат молодым семьям для приобретения жилого помещения или строительства индивидуального жилого дома при формировании бюджета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на очередной финансовый год и плановый период;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Обеспечивает освещение целей, задач и мероприятий по реализации Подпрограммы в средствах массовой информации муниципального района.</w:t>
      </w:r>
    </w:p>
    <w:p w:rsidR="00E8095A" w:rsidRPr="00E8095A" w:rsidRDefault="00E8095A" w:rsidP="00E8095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Признание молодой семьи, имеющей достаточные доходы, позволяющие получить кредит либо иные денежные средства для оплаты расчетной (средней) стоимости жилья в </w:t>
      </w:r>
      <w:proofErr w:type="gram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части, превышающей размер предоставляемой социальной выплаты осуществляется</w:t>
      </w:r>
      <w:proofErr w:type="gram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Порядке, установленном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приложением №3 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настоящей Подпрограмме</w:t>
      </w:r>
      <w:r w:rsidRPr="00E809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8095A" w:rsidRPr="00E8095A" w:rsidRDefault="00E8095A" w:rsidP="00E8095A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8095A" w:rsidRPr="00E8095A" w:rsidRDefault="00E8095A" w:rsidP="00E8095A">
      <w:pPr>
        <w:keepNext/>
        <w:widowControl w:val="0"/>
        <w:numPr>
          <w:ilvl w:val="0"/>
          <w:numId w:val="12"/>
        </w:numPr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РЕСУРСНОЕ ОБЕСПЕЧЕНИЕ ПОДПРОГРАММЫ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объем финансирования мероприятий Подпрограммы составляет –10176,017 тыс. рублей, в том числе: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год –   943,752 тыс. рублей;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год – 3460,426 тыс. рублей;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 год – 2800,405 тыс. рублей;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 – 2971,434 тыс. рублей.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объем финансирования Подпрограммы за счет средств бюджета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составляет: 2281,5 тыс. рублей. 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2021 год – 300,0 тыс. рублей;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 год – 660,5 тыс. рублей,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 год – 660,5 тыс. рублей,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 год – 660,5 тыс. рублей.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финансирования Подпрограммы за счет сре</w:t>
      </w:r>
      <w:proofErr w:type="gram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кр</w:t>
      </w:r>
      <w:proofErr w:type="gram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аевого бюджета осуществляется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г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годы», утвержденной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Приморского края от 30 декабря 2019 г. №945-па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признания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получателем субсидий из краевого бюджета в рамках реализации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2020-2027 годы</w:t>
      </w:r>
      <w:r w:rsidRPr="00E8095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E8095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указанные средства предусматриваются, как источник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софинансирования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Подпрограммы.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095A" w:rsidRDefault="00E8095A" w:rsidP="00E8095A">
      <w:pPr>
        <w:numPr>
          <w:ilvl w:val="0"/>
          <w:numId w:val="12"/>
        </w:numPr>
        <w:tabs>
          <w:tab w:val="clear" w:pos="3414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8095A" w:rsidRPr="00E8095A" w:rsidRDefault="00E8095A" w:rsidP="00E8095A">
      <w:pPr>
        <w:numPr>
          <w:ilvl w:val="0"/>
          <w:numId w:val="12"/>
        </w:numPr>
        <w:tabs>
          <w:tab w:val="clear" w:pos="3414"/>
          <w:tab w:val="num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УПРАВЛЕНИЕ РЕАЛИЗАЦИЕЙ ПОДПРОГРАММЫ И </w:t>
      </w:r>
      <w:proofErr w:type="gramStart"/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КОНТРОЛЬ ЗА</w:t>
      </w:r>
      <w:proofErr w:type="gramEnd"/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ХОДОМ ЕЁ ИСПОЛНЕНИЯ</w:t>
      </w:r>
    </w:p>
    <w:p w:rsidR="00E8095A" w:rsidRPr="00E8095A" w:rsidRDefault="00E8095A" w:rsidP="00E80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процессом реализации Подпрограммы осуществляет координатор Подпрограммы по следующим направлениям:</w:t>
      </w:r>
    </w:p>
    <w:p w:rsidR="00E8095A" w:rsidRPr="00E8095A" w:rsidRDefault="00E8095A" w:rsidP="00E80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контроль за целевым и эффективным использованием бюджетных средств;</w:t>
      </w:r>
    </w:p>
    <w:p w:rsidR="00E8095A" w:rsidRPr="00E8095A" w:rsidRDefault="00E8095A" w:rsidP="00E80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выполнением мероприятий Подпрограммы.</w:t>
      </w:r>
    </w:p>
    <w:p w:rsidR="00E8095A" w:rsidRPr="00E8095A" w:rsidRDefault="00E8095A" w:rsidP="00E80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Координатор Подпрограммы, ежеквартально и по завершению Подпрограммы, предоставляет в отдел экономики, предпринимательства и потребительского рынка администрации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 информацию об итогах ее реализации, в том числе о достижении утвержденных в Подпрограмме целевых индикаторов и причины их отклонения от плановых значений.</w:t>
      </w:r>
    </w:p>
    <w:p w:rsidR="00E8095A" w:rsidRPr="00E8095A" w:rsidRDefault="00E8095A" w:rsidP="00E80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095A" w:rsidRPr="00E8095A" w:rsidRDefault="00E8095A" w:rsidP="00E8095A">
      <w:pPr>
        <w:keepNext/>
        <w:widowControl w:val="0"/>
        <w:numPr>
          <w:ilvl w:val="0"/>
          <w:numId w:val="12"/>
        </w:numPr>
        <w:tabs>
          <w:tab w:val="clear" w:pos="3414"/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ОЦЕНКА ЭФФЕКТИВНОСТИ РЕАЛИЗАЦИИ ПОДПРОГРАММЫ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Эффективность реализации Подпрограммы и </w:t>
      </w:r>
      <w:proofErr w:type="gram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использования</w:t>
      </w:r>
      <w:proofErr w:type="gram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выделенных на нее средств краевого и муниципального бюджетов обеспечивается за счет: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прозрачности использования бюджетных средств;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адресного предоставления социальных выплат;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привлечения молодыми семьями собственных, кредитных и заемных сре</w:t>
      </w:r>
      <w:proofErr w:type="gram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дл</w:t>
      </w:r>
      <w:proofErr w:type="gram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приобретения (строительства) жилья.</w:t>
      </w:r>
    </w:p>
    <w:p w:rsidR="00E8095A" w:rsidRPr="00E8095A" w:rsidRDefault="00E8095A" w:rsidP="00E8095A">
      <w:pPr>
        <w:snapToGri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реализации мер по обеспечению жильем молодых семей будет осуществляться на основе следующих индикаторов:</w:t>
      </w:r>
    </w:p>
    <w:p w:rsidR="00E8095A" w:rsidRPr="00E8095A" w:rsidRDefault="00E8095A" w:rsidP="00E8095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улучшение жилищных условий (в том числе с использованием ипотечных жилищных кредитов и займов)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10 молодых семей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округа;</w:t>
      </w:r>
    </w:p>
    <w:p w:rsidR="00E8095A" w:rsidRPr="00E8095A" w:rsidRDefault="00E8095A" w:rsidP="00E809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показатель доли молодых семей, улучшивших жилищные условия.</w:t>
      </w:r>
    </w:p>
    <w:p w:rsidR="00E8095A" w:rsidRPr="00E8095A" w:rsidRDefault="00E8095A" w:rsidP="00E8095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Успешное выполнение мероприятий Подпрограммы позволит в 2022-2024 годах обеспечить жильем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10 молодых семей </w:t>
      </w:r>
      <w:proofErr w:type="spellStart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нуждающихся в улучшении жилищных условий, в том числе в 2021 году, в 2022 году – 3 семьи, в 2023 году – 3 семьи, в 2024 году – 3 семьи.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Подпрограммы осуществляется по итогам ее исполнения за отчетный финансовый год и в целом после ее реализации в соответствии с Порядком проведения оценки эффективности реализации муниципальных программ.</w:t>
      </w:r>
    </w:p>
    <w:p w:rsidR="00E8095A" w:rsidRPr="00E8095A" w:rsidRDefault="00E8095A" w:rsidP="00E80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8095A" w:rsidRPr="00E8095A" w:rsidRDefault="00E8095A" w:rsidP="00E8095A">
      <w:pPr>
        <w:widowControl w:val="0"/>
        <w:numPr>
          <w:ilvl w:val="0"/>
          <w:numId w:val="12"/>
        </w:numPr>
        <w:tabs>
          <w:tab w:val="clear" w:pos="3414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095A">
        <w:rPr>
          <w:rFonts w:ascii="Times New Roman" w:eastAsia="Calibri" w:hAnsi="Times New Roman" w:cs="Times New Roman"/>
          <w:b/>
          <w:sz w:val="28"/>
          <w:szCs w:val="28"/>
        </w:rPr>
        <w:t>ЦЕЛЕВЫЕ ИНДИКАТОРЫ</w:t>
      </w:r>
    </w:p>
    <w:p w:rsidR="00E8095A" w:rsidRPr="00E8095A" w:rsidRDefault="00E8095A" w:rsidP="00E8095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«Обеспечение жильем молодых семей </w:t>
      </w:r>
    </w:p>
    <w:p w:rsidR="00E8095A" w:rsidRPr="00E8095A" w:rsidRDefault="00E8095A" w:rsidP="00E8095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80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Приморского края»</w:t>
      </w:r>
    </w:p>
    <w:p w:rsidR="00E8095A" w:rsidRPr="00E8095A" w:rsidRDefault="00E8095A" w:rsidP="00E8095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2021-2024 годы</w:t>
      </w:r>
    </w:p>
    <w:tbl>
      <w:tblPr>
        <w:tblStyle w:val="a5"/>
        <w:tblW w:w="9855" w:type="dxa"/>
        <w:tblLook w:val="04A0" w:firstRow="1" w:lastRow="0" w:firstColumn="1" w:lastColumn="0" w:noHBand="0" w:noVBand="1"/>
      </w:tblPr>
      <w:tblGrid>
        <w:gridCol w:w="639"/>
        <w:gridCol w:w="2588"/>
        <w:gridCol w:w="1392"/>
        <w:gridCol w:w="1214"/>
        <w:gridCol w:w="1340"/>
        <w:gridCol w:w="1341"/>
        <w:gridCol w:w="1341"/>
      </w:tblGrid>
      <w:tr w:rsidR="00E8095A" w:rsidRPr="00E8095A" w:rsidTr="00FB0A4E">
        <w:trPr>
          <w:trHeight w:val="261"/>
        </w:trPr>
        <w:tc>
          <w:tcPr>
            <w:tcW w:w="639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 xml:space="preserve">№ </w:t>
            </w:r>
            <w:proofErr w:type="gramStart"/>
            <w:r w:rsidRPr="00E8095A">
              <w:rPr>
                <w:sz w:val="24"/>
                <w:szCs w:val="24"/>
              </w:rPr>
              <w:t>п</w:t>
            </w:r>
            <w:proofErr w:type="gramEnd"/>
            <w:r w:rsidRPr="00E8095A">
              <w:rPr>
                <w:sz w:val="24"/>
                <w:szCs w:val="24"/>
              </w:rPr>
              <w:t>/п</w:t>
            </w:r>
          </w:p>
        </w:tc>
        <w:tc>
          <w:tcPr>
            <w:tcW w:w="2588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Показатель (индикатор) наименование</w:t>
            </w:r>
          </w:p>
        </w:tc>
        <w:tc>
          <w:tcPr>
            <w:tcW w:w="1392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236" w:type="dxa"/>
            <w:gridSpan w:val="4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Значение показателей</w:t>
            </w:r>
          </w:p>
        </w:tc>
      </w:tr>
      <w:tr w:rsidR="00E8095A" w:rsidRPr="00E8095A" w:rsidTr="00FB0A4E">
        <w:trPr>
          <w:trHeight w:val="324"/>
        </w:trPr>
        <w:tc>
          <w:tcPr>
            <w:tcW w:w="639" w:type="dxa"/>
            <w:vMerge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8" w:type="dxa"/>
            <w:vMerge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2021</w:t>
            </w:r>
          </w:p>
        </w:tc>
        <w:tc>
          <w:tcPr>
            <w:tcW w:w="1340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2022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2023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2024</w:t>
            </w:r>
          </w:p>
        </w:tc>
      </w:tr>
      <w:tr w:rsidR="00E8095A" w:rsidRPr="00E8095A" w:rsidTr="00FB0A4E">
        <w:trPr>
          <w:trHeight w:val="285"/>
        </w:trPr>
        <w:tc>
          <w:tcPr>
            <w:tcW w:w="63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09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8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09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095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095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095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095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8095A">
              <w:rPr>
                <w:b/>
                <w:sz w:val="24"/>
                <w:szCs w:val="24"/>
              </w:rPr>
              <w:t>7</w:t>
            </w:r>
          </w:p>
        </w:tc>
      </w:tr>
      <w:tr w:rsidR="00E8095A" w:rsidRPr="00E8095A" w:rsidTr="00FB0A4E">
        <w:tc>
          <w:tcPr>
            <w:tcW w:w="63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both"/>
            </w:pPr>
            <w:r w:rsidRPr="00E8095A">
              <w:rPr>
                <w:color w:val="000000"/>
              </w:rPr>
              <w:t>Количество молодых семей, улучшивших жилищные условия.</w:t>
            </w:r>
          </w:p>
        </w:tc>
        <w:tc>
          <w:tcPr>
            <w:tcW w:w="13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Семья</w:t>
            </w:r>
          </w:p>
        </w:tc>
        <w:tc>
          <w:tcPr>
            <w:tcW w:w="121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3</w:t>
            </w:r>
          </w:p>
        </w:tc>
      </w:tr>
      <w:tr w:rsidR="00E8095A" w:rsidRPr="00E8095A" w:rsidTr="00FB0A4E">
        <w:tc>
          <w:tcPr>
            <w:tcW w:w="63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2</w:t>
            </w:r>
          </w:p>
        </w:tc>
        <w:tc>
          <w:tcPr>
            <w:tcW w:w="258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095A">
              <w:rPr>
                <w:color w:val="000000"/>
              </w:rPr>
              <w:t>Доля молодых семей, улучшивших жилищные условия</w:t>
            </w:r>
          </w:p>
        </w:tc>
        <w:tc>
          <w:tcPr>
            <w:tcW w:w="13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%</w:t>
            </w:r>
          </w:p>
        </w:tc>
        <w:tc>
          <w:tcPr>
            <w:tcW w:w="121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E8095A">
              <w:rPr>
                <w:sz w:val="24"/>
                <w:szCs w:val="24"/>
              </w:rPr>
              <w:t>100</w:t>
            </w:r>
          </w:p>
        </w:tc>
      </w:tr>
    </w:tbl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8095A" w:rsidRPr="00E8095A" w:rsidTr="00FB0A4E">
        <w:tc>
          <w:tcPr>
            <w:tcW w:w="4927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№1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подпрограмме «Обеспечение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жильем молодых семей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Приморского края» на 2021-2024 годы</w:t>
            </w:r>
            <w:r w:rsidRPr="00E80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ОСНОВНЫХ МЕРОПРИЯТИЙ 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ПОДПРОГРАММЫ «ОБЕСПЕЧЕНИЕ ЖИЛЬЁМ МОЛОДЫХ СЕМЕЙ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ХОРОЛЬСКОГО МУНИЦИПАЛЬНОГО ОКРУГА» НА 2021-2024 ГОДЫ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993"/>
        <w:gridCol w:w="1134"/>
        <w:gridCol w:w="1134"/>
        <w:gridCol w:w="992"/>
        <w:gridCol w:w="992"/>
        <w:gridCol w:w="1559"/>
      </w:tblGrid>
      <w:tr w:rsidR="00E8095A" w:rsidRPr="00E8095A" w:rsidTr="00FB0A4E">
        <w:tc>
          <w:tcPr>
            <w:tcW w:w="568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</w:t>
            </w:r>
            <w:proofErr w:type="spellEnd"/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17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5245" w:type="dxa"/>
            <w:gridSpan w:val="5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за счет средств бюджета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рублей, в текущих ценах каждого года)</w:t>
            </w:r>
          </w:p>
        </w:tc>
        <w:tc>
          <w:tcPr>
            <w:tcW w:w="155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</w:t>
            </w:r>
          </w:p>
        </w:tc>
      </w:tr>
      <w:tr w:rsidR="00E8095A" w:rsidRPr="00E8095A" w:rsidTr="00FB0A4E">
        <w:tc>
          <w:tcPr>
            <w:tcW w:w="568" w:type="dxa"/>
            <w:vMerge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2021-2024 годы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55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95A" w:rsidRPr="00E8095A" w:rsidTr="00FB0A4E">
        <w:tc>
          <w:tcPr>
            <w:tcW w:w="56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Прием документов от потенциальных участников Подпрограммы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2021,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2022,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2023,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993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округа</w:t>
            </w:r>
          </w:p>
        </w:tc>
      </w:tr>
      <w:tr w:rsidR="00E8095A" w:rsidRPr="00E8095A" w:rsidTr="00FB0A4E">
        <w:tc>
          <w:tcPr>
            <w:tcW w:w="56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417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Утверждение списков молодых семей – участников Подпрограммы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Май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2021,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2022,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2023,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993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Администрация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округа</w:t>
            </w:r>
          </w:p>
        </w:tc>
      </w:tr>
      <w:tr w:rsidR="00E8095A" w:rsidRPr="00E8095A" w:rsidTr="00FB0A4E">
        <w:tc>
          <w:tcPr>
            <w:tcW w:w="56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417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Предоставление субсидий участникам Подпрограммы на социальные выплаты молодым семьям для приобретения (строительства) жилья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2021-2024</w:t>
            </w:r>
          </w:p>
        </w:tc>
        <w:tc>
          <w:tcPr>
            <w:tcW w:w="993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10176,017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943,752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3460,426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2800,405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2971,434</w:t>
            </w:r>
          </w:p>
        </w:tc>
        <w:tc>
          <w:tcPr>
            <w:tcW w:w="155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Администрация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округа</w:t>
            </w:r>
          </w:p>
        </w:tc>
      </w:tr>
      <w:tr w:rsidR="00E8095A" w:rsidRPr="00E8095A" w:rsidTr="00FB0A4E">
        <w:trPr>
          <w:trHeight w:val="1681"/>
        </w:trPr>
        <w:tc>
          <w:tcPr>
            <w:tcW w:w="56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417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Освещение целей и задач Подпрограммы в средствах массовой информации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2021-2024</w:t>
            </w:r>
          </w:p>
        </w:tc>
        <w:tc>
          <w:tcPr>
            <w:tcW w:w="993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муниципального округа.</w:t>
            </w:r>
          </w:p>
        </w:tc>
      </w:tr>
    </w:tbl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352"/>
      </w:tblGrid>
      <w:tr w:rsidR="00E8095A" w:rsidRPr="00E8095A" w:rsidTr="00FB0A4E">
        <w:tc>
          <w:tcPr>
            <w:tcW w:w="4679" w:type="dxa"/>
          </w:tcPr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2" w:type="dxa"/>
          </w:tcPr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Приложение № 2</w:t>
            </w: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подпрограмме «Обеспечение жильем молодых семей </w:t>
            </w:r>
            <w:proofErr w:type="spellStart"/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Приморского края»</w:t>
            </w: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2021-2024 годы»</w:t>
            </w:r>
          </w:p>
        </w:tc>
      </w:tr>
    </w:tbl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ПРАВИЛА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ПРЕДОСТАВЛЕНИЯ МОЛОДЫМ СЕМЬЯМ СОЦИАЛЬНЫХ ВЫПЛАТ</w:t>
      </w:r>
    </w:p>
    <w:p w:rsidR="00E8095A" w:rsidRPr="00E8095A" w:rsidRDefault="00E8095A" w:rsidP="00E80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НА ПРИОБРЕТЕНИЕ (СТРОИТЕЛЬСТВО) ЖИЛЬЯ И ИХ ИСПОЛЬЗОВАНИЯ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социальная выплата, строительство индивидуального жилого дома), а также использования таких выплат.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выплаты используются: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помещения) (далее - договор на жилое помещение);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для оплаты цены договора строительного подряда на строительство индивидуального жилого дома;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кооператив), после уплаты, которого жилое помещение переходит в собственность этой молодой семьи;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д) для оплаты договора с уполномоченной организацией на приобретение в интересах молодой семьи жилого помещения,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неполнородных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братьев и сестер).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Право молодой семьи - участницы Подпрограммы на получение социальной выплаты удостоверяется именным документом - свидетельством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не является ценной бумагой.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свидетельств, изготовленных Администрацией Приморского края, и переданных в администрацию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на основании решения о включении молодой семьи в список участников подпрограммы осуществляется управлением образования администрации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(далее - Управление) в соответствии с выпиской из утвержденного администрацией Приморского края списка молодых семей - претендентов на получение социальных выплат в соответствующем году.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действия свидетельства составляет не более 7 месяцев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выдачи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указанной в свидетельстве.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Участником Подпрограммы может быть молодая семья, в том числе неполная молодая семья, состоящая из одного молодого родителя и одного и более детей, соответствующая следующим условиям: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а) возраст каждого из супругов либо одного родителя в неполной семье на день принятия администрацией Приморского края решения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б) семья признана нуждающейся в жилом помещении;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6. Право на улучшение жилищных условий с использованием социальной выплаты предоставляется молодой семье только 1 раз. Участие в подпрограмме является добровольным.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производится 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соответствии с Порядком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выплаты (приложение №4 настоящей Подпрограммы).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8. Социальная выплата предоставляется в размере: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30 процентов расчетной (средней) стоимости жилья</w:t>
      </w:r>
      <w:r w:rsidRPr="00E809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определяемой в соответствии с настоящим Порядком, для молодых семей, не имеющих детей;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35 процентов расчетной (средней) стоимости жилья</w:t>
      </w:r>
      <w:r w:rsidRPr="00E809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определяемой в соответствии с настоящим Порядком, для молодых семей, имеющих 1 ребенка и более, а также для неполных молодых семей, состоящих из 1 молодого родителя и 1 ребенка и более.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использования социальной выплаты на уплату последнего платежа в счет оплаты паевого взноса ее размер устанавливается в соответствии с </w:t>
      </w:r>
      <w:hyperlink w:anchor="Par339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8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и ограничивается суммой остатка задолженности по выплате остатка пая.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9. 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социальной выплаты для погашения долга по кредитам размер социальной выплаты устанавливается в соответствии с пунктом 8 настоящего Порядка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10. Расчет размера социальной выплаты производится исходя из размера общей площади жилого помещения, установленного для семей разной численности, количества членов молодой семьи - участницы Подпрограммы и норматива стоимости 1 кв. метра общей площади жилья по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Хорольскому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округу. Норматив стоимости 1 кв. метра общей площади жилья по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Хорольскому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округу для расчета размера социальной выплаты устанавливается постановлением администрации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но не выше средней рыночной стоимости 1 кв. метра общей площади жилья по Приморскому краю, определяемой Министерством строительства и жилищно-коммунального хозяйства Российской Федерации.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11. Размер общей площади жилого помещения, с учетом которой определяется размер социальной выплаты, составляет: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семьи, состоящей из 2 человек (молодые супруги или 1 молодой родитель и ребенок) - 42 кв. метра;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для семьи, состоящей из 3 или более человек, включающей помимо молодых супругов, 1 или более детей (либо семьи, состоящей из 1 молодого родителя и 2 или более детей) - по 18 кв. метров на 1 человека.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12. Расчетная (средняя) стоимость жилья, используемая при расчете размера социальной выплаты, определяется по формуле: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СтЖ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Н x РЖ,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- норматив стоимости 1 кв. метра общей площади жилья в сельской местности, определяемый в соответствии с требованиями, установленными </w:t>
      </w:r>
      <w:hyperlink w:anchor="Par340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10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РЖ - размер общей площади жилого помещения, определяемый в соответствии с пунктом 11 настоящих Правил.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13. Размер социальной выплаты рассчитывается на дату выдачи свидетельства, указывается в свидетельстве и остается неизменным в течение всего срока его действия.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14. 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Подпрограмме в целях использования социальной выплаты в соответствии с </w:t>
      </w:r>
      <w:hyperlink w:anchor="Par323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</w:t>
        </w:r>
        <w:proofErr w:type="gramEnd"/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"а"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ar327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"д" пункта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Правил, молодая семья подает в орган местного самоуправления по месту жительства следующие документы: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заявление по </w:t>
      </w:r>
      <w:hyperlink w:anchor="Par405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приложение к Правилам предоставления молодым семьям социальных выплат на приобретение (строительство) жилья и их использования,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и копию документов, удостоверяющих личность каждого члена семьи;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оригинал и копию свидетельства о браке (на неполную семью не распространяется);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документ, подтверждающий признание семьи, как нуждающейся в улучшении жилищных условий;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признание молодой семьи,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е) копию страхового свидетельства обязательного пенсионного страхования каждого совершеннолетнего члена семьи.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15. 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подпрограмме в целях использования социальной выплаты в соответствии с подпунктом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"е" пункта 2 настоящих Правил, молодая семья подает в орган местного самоуправления по месту жительства следующие документы: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заявление по </w:t>
      </w:r>
      <w:hyperlink w:anchor="Par405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к Правилам предоставления молодым семьям социальных выплат на приобретение (строительство) жилья и их использования,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б) копии документов, удостоверяющих личность каждого члена семьи;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в) копия свидетельства о браке (на неполную семью не распространяется);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копия кредитного договора (договора займа);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документ, подтверждающий, что молодая семья была признана нуждающейся в жилом помещении в соответствии с пунктом 7 настоящих Правил на момент заключения кредитного договора (договора займа), указанного в подпункте "д" настоящего пункта;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ж) 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з) копию страхового свидетельства обязательного пенсионного страхования каждого совершеннолетнего члена семьи.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молодой семьи документы, предусмотренные </w:t>
      </w:r>
      <w:hyperlink w:anchor="Par35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14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hyperlink w:anchor="Par35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Правил, могут быть поданы одним из ее совершеннолетних членов либо иным уполномоченным лицом при наличии нотариально оформленной доверенности.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 Управление проверяет достоверность сведений, содержащихся в документах, предусмотренных </w:t>
      </w:r>
      <w:hyperlink w:anchor="Par35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14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hyperlink w:anchor="Par35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Правил. В 10-дневный срок,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представления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этих документов комиссия администрации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по признанию платежеспособности молодых семей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принимает решение о признании либо об отказе в признании молодой семьи участницей Подпрограммы. О принятом решении молодая семья письменно уведомляется Управлением в 10-дневный срок со дня принятого решения.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18.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признании молодой семьи участницей Подпрограммы являются: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 несоответствие молодой семьи требованиям, предусмотренным </w:t>
      </w:r>
      <w:hyperlink w:anchor="Par33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настоящихПравил;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непредставление или представление не всех документов, предусмотренных </w:t>
      </w:r>
      <w:hyperlink w:anchor="Par35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14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hyperlink w:anchor="Par35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недостоверность сведений, содержащихся в представленных документах;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г) ранее реализованное право на улучшение жилищных условий с использованием социальной выплаты на приобретение (строительство) жилья.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19. Повторное обращение с заявлением об участии в Подпрограмме допускается после устранения оснований для отказа, предусмотренных пунктом </w:t>
      </w:r>
      <w:hyperlink w:anchor="Par36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18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в срок до 1 июня года, предшествующего планируемому, формирует списки молодых семей - участников Подпрограммы, изъявивших желание получить социальную выплату в планируемом году (далее - Списки), согласно приложения к Порядку </w:t>
      </w:r>
      <w:hyperlink w:anchor="Par47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приложения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№4 к настоящей Подпрограмме и предоставляет их в департамент по делам молодежи Приморского края на утверждение.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21. Изменения в утвержденные списки молодых семей - участников Подпрограммы вносятся Управлением.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22. Основанием для внесения изменений в утвержденные списки молодых семей - участников Подпрограммы является: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 в течение срока действия свидетельства от получения социальной выплаты на приобретение (строительство) жилья;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 молодой семьи возможности воспользоваться социальной выплатой на приобретение (строительство) жилья по иным причинам.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23.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оснований, указанных в </w:t>
      </w:r>
      <w:hyperlink w:anchor="Par377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настоящих Правил, Управление в течение 10 рабочих дней со дня выявления соответствующих оснований направляет в департамент по делам молодежи Приморского края письменное уведомление о необходимости внесения изменений в списки молодых семей - участников Подпрограммы с приложением следующих документов: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решений о необходимости внесения изменений в списки молодых семей - участников Подпрограммы по каждой молодой семье с обоснованием причин внесения соответствующих изменений;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 молодых семей - участников Подпрограммы, изъявивших желание получить социальную выплату на приобретение (строительство) жилья в текущем году (с учетом внесенных в него изменений).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E8095A" w:rsidRPr="00E8095A" w:rsidSect="00A44594">
          <w:headerReference w:type="default" r:id="rId7"/>
          <w:pgSz w:w="11906" w:h="16838"/>
          <w:pgMar w:top="1134" w:right="566" w:bottom="1276" w:left="1701" w:header="708" w:footer="708" w:gutter="0"/>
          <w:cols w:space="708"/>
          <w:docGrid w:linePitch="360"/>
        </w:sect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Правилам предоставления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молодым семьям социальных выплат на приобретение (строительство) жилья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и их использования</w:t>
      </w:r>
    </w:p>
    <w:p w:rsidR="00E8095A" w:rsidRPr="00E8095A" w:rsidRDefault="00E8095A" w:rsidP="00E8095A">
      <w:pPr>
        <w:spacing w:after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8095A" w:rsidRPr="00E8095A" w:rsidSect="00A44594">
          <w:type w:val="continuous"/>
          <w:pgSz w:w="11906" w:h="16838"/>
          <w:pgMar w:top="1134" w:right="566" w:bottom="426" w:left="1701" w:header="708" w:footer="708" w:gutter="0"/>
          <w:cols w:num="2" w:space="708"/>
          <w:docGrid w:linePitch="360"/>
        </w:sect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(форма)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 местного самоуправления)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Прошу  включить в состав  участников основного мероприятия "Обеспечение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жильем  молодых  семей"  государственной </w:t>
      </w:r>
      <w:hyperlink r:id="rId8" w:history="1">
        <w:r w:rsidRPr="00E8095A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программы</w:t>
        </w:r>
      </w:hyperlink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Российской  Федерации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"Обеспечение доступным и комфортным жильем и коммунальными услугами граждан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Российской Федерации" молодую семью в составе: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супруг _________________________________________________________________________________________,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рождения)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паспорт: серия ___________ № ______________, выданный _____________________________________________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 "___" _____________ 20__ г.,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проживает по адресу: _____________________________________________________________________________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супруга ________________________________________________________________________________________,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рождения)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паспорт: серия _______________ №______________, выданный 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 "__" _____________ 20__ г.,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проживает по адресу: _____________________________________________________________________________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рождения)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свидетельство о рождении (паспорт для ребенка, достигшего 14 лет)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-----------------------------------------------------------------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(ненужное вычеркнуть)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паспорт: серия _____________ № ______________, выданный 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 "__" _____________ 20__ г.,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проживает по адресу: _____________________________________________________________________________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рождения)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свидетельство о рождении (паспорт для ребенка, достигшего 14 лет)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-----------------------------------------------------------------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(ненужное вычеркнуть)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паспорт: серия _____________ № ______________, выданный 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 "__" _____________ 20__ г.,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проживает по адресу: _____________________________________________________________________________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условиями участия в основном мероприятии "Обеспечение жильем молодых семей" государственной </w:t>
      </w:r>
      <w:hyperlink r:id="rId9" w:history="1">
        <w:r w:rsidRPr="00E8095A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программы</w:t>
        </w:r>
      </w:hyperlink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Российской Федерации "Обеспечение доступным и комфортным жильем и коммунальными услугами граждан Российской Федерации" 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ознакомлен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(ознакомлены) и обязуюсь (обязуемся) их выполнять: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1) __________________________________________________________________________________ 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совершеннолетнего члена семьи)   (подпись)     (дата)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2) __________________________________________________________________________________ 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совершеннолетнего члена семьи)   (подпись)     (дата)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3) __________________________________________________________________________________ 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совершеннолетнего члена семьи)   (подпись)     (дата)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К заявлению прилагаются следующие документы: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1) _______________________________________________________________________;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(наименование и номер документа, кем и когда выдан)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2) _______________________________________________________________________;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(наименование и номер документа, кем и когда выдан)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3) _______________________________________________________________________;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(наименование и номер документа, кем и когда выдан)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4) _______________________________________________________________________.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(наименование и номер документа, кем и когда выдан)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Заявление  и прилагаемые к нему согласно перечню документы приняты "__"_______________ 20__ г.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 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лица, принявшего заявление) (подпись, дата</w:t>
      </w:r>
      <w:proofErr w:type="gramStart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)(</w:t>
      </w:r>
      <w:proofErr w:type="gramEnd"/>
      <w:r w:rsidRPr="00E8095A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8095A" w:rsidRPr="00E8095A" w:rsidTr="00FB0A4E">
        <w:tc>
          <w:tcPr>
            <w:tcW w:w="4927" w:type="dxa"/>
          </w:tcPr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28" w:type="dxa"/>
          </w:tcPr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3</w:t>
            </w: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</w:t>
            </w: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молодых семей</w:t>
            </w: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Приморского края» на 2021-2024 годы»</w:t>
            </w:r>
          </w:p>
        </w:tc>
      </w:tr>
    </w:tbl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 УСЛОВИЯ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E8095A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proofErr w:type="gram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Настоящий Порядок определяет условия признания молодой семьи, претендующей на участие в муниципальной программе «Обеспечение жильем молодых семей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Приморского края» на 2021-2024 годы» (далее - Подпрограмма),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социальной выплаты (далее - молодая семья, имеющая достаточные доходы) на приобретение (строительство) жилья.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E8095A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Для целей настоящего Порядка под достаточными доходами понимаются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Программы (далее - достаточные доходы).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 Признание молодой семьи, имеющей достаточные доходы, осуществляется комиссией администрации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по признанию платежеспособности молодых семей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приложение № 6 к настоящей Подпрограмме, на основании решения о признании молодой семьи, имеющей достаточные доходы (далее - решение).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 Условиями признания </w:t>
      </w:r>
      <w:proofErr w:type="gram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молодой семьи, имеющей достаточные доходы являются</w:t>
      </w:r>
      <w:proofErr w:type="gram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возможность получения одним из членов молодой семьи жилищного кредита, в том числе ипотечного, или жилищного займа на приобретение (строительство) жилья в размере, достаточном для оплаты расчетной (средней) стоимости жилья в части, превышающей размер предоставляемой социальной выплаты в рамках Подпрограммы;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у одного из членов молодой семьи банковских вкладов в размере, достаточном для оплаты расчетной (средней) стоимости жилья в части, превышающей размер предоставляемой социальной выплаты в рамках Подпрограммы;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наличие права на получение материнского (семейного) капитала в размере, достаточном для оплаты расчетной (средней) стоимости жилья в части, превышающей размер предоставляемой социальной выплаты в рамках Подпрограммы.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5. Для признания молодой семьи, имеющей достаточные доходы, молодая семья подает в Управление на выбор, из предложенного ниже перечня, следующие документы, а также их копии: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информационное письмо банка и (или) иной организации, предоставляющей кредиты и (или) займы (в том числе ипотечные жилищные кредиты), о возможности получения молодой семьей кредита и (или) займа (в том числе ипотечного) на приобретение (строительство) жилья с указанием размера кредита и (или) займа;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документ, подтверждающий наличие у молодой семьи банковских вкладов, с указанием размера вкладов;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государственный сертификат на материнский (семейный) капитал.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6.</w:t>
      </w:r>
      <w:r w:rsidRPr="00E8095A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имени молодой семьи документы, предусмотренные в </w:t>
      </w:r>
      <w:hyperlink r:id="rId10" w:anchor="Par729" w:history="1">
        <w:r w:rsidRPr="00E8095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пункте 6</w:t>
        </w:r>
      </w:hyperlink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Порядка, могут быть поданы одним из ее членов либо иным уполномоченным лицом при наличии нотариально оформленной доверенности.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Pr="00E8095A">
        <w:rPr>
          <w:rFonts w:ascii="Times New Roman" w:eastAsia="Calibri" w:hAnsi="Times New Roman" w:cs="Times New Roman"/>
          <w:sz w:val="20"/>
          <w:szCs w:val="20"/>
          <w:lang w:eastAsia="ru-RU"/>
        </w:rPr>
        <w:t> </w:t>
      </w:r>
      <w:proofErr w:type="gram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10 рабочих дней со дня предоставления документов, указанных в </w:t>
      </w:r>
      <w:hyperlink r:id="rId11" w:anchor="Par729" w:history="1">
        <w:r w:rsidRPr="00E8095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пункте 6</w:t>
        </w:r>
      </w:hyperlink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настоящего Порядка, проводится заседание комиссии администрации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по признанию платежеспособности молодых семей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округа, на котором выноситься решение о признании молодой семьи, имеющей достаточные доходы, если объем средств кредита и (или) займа, и (или) размер банковского вклада, и (или) размер материнского (семейного) капитала больше</w:t>
      </w:r>
      <w:proofErr w:type="gram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или равен расчетной (средней) стоимости жилья в части, превышающей размер предоставляемой социальной выплаты в рамках Подпрограммы, либо решение об отказе в признании молодой семьи, имеющей достаточные доходы (с указанием причин отказа), если объем средств кредита и (или) займа, и (или) размер банковского вклада, и (или) размер материнского (семейного) капитала меньше расчетной (средней) стоимости жилья в части, превышающей размер социальной выплаты</w:t>
      </w:r>
      <w:proofErr w:type="gram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рамках Подпрограммы.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8. Решение о признании молодой семьи, имеющей достаточные доходы (либо об отказе), оформляется протоколом заседания комиссией администрации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по признанию платежеспособности молодых семей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и передается в управление образования администрации </w:t>
      </w:r>
      <w:proofErr w:type="spellStart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округа (далее - Управление).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Calibri" w:hAnsi="Times New Roman" w:cs="Times New Roman"/>
          <w:sz w:val="26"/>
          <w:szCs w:val="26"/>
          <w:lang w:eastAsia="ru-RU"/>
        </w:rPr>
        <w:t>9. Управление в течение 10 рабочих дней в письменной форме уведомляет молодую семью о принятом решении.</w:t>
      </w: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  <w:sectPr w:rsidR="00E8095A" w:rsidRPr="00E8095A" w:rsidSect="00A44594">
          <w:type w:val="continuous"/>
          <w:pgSz w:w="11906" w:h="16838"/>
          <w:pgMar w:top="1134" w:right="566" w:bottom="426" w:left="1701" w:header="708" w:footer="708" w:gutter="0"/>
          <w:cols w:space="708"/>
          <w:docGrid w:linePitch="360"/>
        </w:sect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E8095A" w:rsidRPr="00E8095A" w:rsidTr="00FB0A4E">
        <w:tc>
          <w:tcPr>
            <w:tcW w:w="6062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</w:tcPr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№4</w:t>
            </w: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подпрограмме «Обеспечение жильем молодых семей</w:t>
            </w:r>
          </w:p>
          <w:p w:rsidR="00E8095A" w:rsidRPr="00E8095A" w:rsidRDefault="00E8095A" w:rsidP="00E809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Хорольского</w:t>
            </w:r>
            <w:proofErr w:type="spellEnd"/>
            <w:r w:rsidRPr="00E8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Приморского края» на 2021-2024 годы»</w:t>
            </w:r>
          </w:p>
        </w:tc>
      </w:tr>
    </w:tbl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ФОРМИРОВАНИЯ АДМИНИСТРАЦИЕЙ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ХОРОЛЬСКОГО МУНИЦИПАЛЬНОГО ОКРУГА СПИСКОВ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МОЛОДЫХ СЕМЕЙ УЧАСТНИКОВ ПОДПРОГРАММЫ И ДЕПАРТАМЕНТОМ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ДЕЛАМ МОЛОДЕЖИ ПРИМОРСКОГО КРАЯ СВОДНОГО СПИСКА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МОЛОДЫХ СЕМЕЙ УЧАСТНИКОВ ОСНОВНОГО МЕРОПРИЯТИЯ 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«ОБЕСПЕЧЕНИЕ ЖИЛЬЕМ МОЛОДЫХ СЕМЕЙ»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формирования 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списков молодых семей - участников программы и департаментом по делам молодежи Приморского края сводного списка молодых семей - участников основных мероприятий (далее - Порядок) разработан в целях реализации муниципальной подпрограммы «Обеспечение жильем молодых семей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Приморского края» на 2021-2024 годы (далее – Подпрограмма) и основных мероприятий </w:t>
      </w:r>
      <w:r w:rsidRPr="00E809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жильем молодых семей</w:t>
      </w:r>
      <w:r w:rsidRPr="00E809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программы Российской Федерации «Обеспечение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доступным и комфортным жильем и коммунальными услугами граждан Российской Федерации</w:t>
      </w:r>
      <w:r w:rsidRPr="00E809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Основные мероприятия) и определяет механизм формирования 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(далее - уполномоченные органы местного самоуправления) списков молодых семей - участников программы, изъявивших желание получить социальную выплату в планируемом году (далее - списки молодых семей - участников программы), и департаментом по делам молодежи Приморского края (далее - департамент молодежи) сводного списка молодых семей - участников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мероприятий, изъявивших желание получить социальную выплату в планируемом году (далее - сводный список молодых семей - участников Основных мероприятий).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молодой семьи в программе в целях использования социальной выплаты в случаях, предусмотренных </w:t>
      </w:r>
      <w:hyperlink r:id="rId1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подпунктами </w:t>
        </w:r>
        <w:r w:rsidRPr="00E809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</w:hyperlink>
      <w:r w:rsidRPr="00E809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E809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</w:t>
        </w:r>
        <w:r w:rsidRPr="00E809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пункта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предоставления молодым семьям социальных выплат на приобретение (строительство) жилья и их использования приложение № 2 к настоящей Подпрограмме (далее - Правила), молодая семья представляет в уполномоченный орган местного самоуправления по месту жительства следующие документы: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заявление по </w:t>
      </w:r>
      <w:hyperlink r:id="rId14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Правилам в двух экземплярах (один экземпляр возвращается молодой семье с указанием даты принятия заявления и приложенных к нему документов);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удостоверяющих личность каждого члена семьи (с предъявлением оригиналов);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копию свидетельства о браке (на неполную семью не распространяется) (с предъявлением оригинала);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документ, подтверждающий, что молодая семья признана нуждающейся в жилых помещениях.</w:t>
      </w:r>
      <w:bookmarkStart w:id="0" w:name="_GoBack"/>
      <w:bookmarkEnd w:id="0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на основаниях, которые установлены </w:t>
      </w:r>
      <w:hyperlink r:id="rId15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51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Жилищного кодекса Российской Федерации для признания гражданину нуждающимися в жилых помещениях, предоставляемых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договорам социального найма, вне зависимости от того, поставлены ли они на учет в качестве нуждающихся в жилых помещениях.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документы, подтверждающие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предусмотренные в Порядке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приложение №3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Подпрограмме.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молодой семьи в Подпрограмме в целях использования социальной выплаты, в случае, предусмотренном </w:t>
      </w:r>
      <w:hyperlink r:id="rId16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"е" пункта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Правил, молодая семья подает в уполномоченный орган местного самоуправления по месту жительства следующие документы: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заявление по </w:t>
      </w:r>
      <w:hyperlink r:id="rId17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Правилам в двух экземплярах (один экземпляр возвращается молодой семье с указанием даты принятия заявления и приложенных к нему документов);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документов, удостоверяющих личность каждого члена семьи (с предъявлением оригиналов);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свидетельства о браке (на неполную семью не распространяется) (с предъявлением оригинала);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копию выписки из единого государственного реестра прав;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копию кредитного договора (договор займа) (с предъявлением оригинала);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документ, подтверждающий, что молодая семья была признана нуждающейся в жилом помещении в соответствии с </w:t>
      </w:r>
      <w:hyperlink r:id="rId1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подпунктом "г" пункта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на момент заключения кредитного договора (договора займа) указанного в </w:t>
      </w:r>
      <w:hyperlink w:anchor="P25164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"д"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ж)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 банка и (или) иной организации, предоставившей молодой семье ипотечный жилищный кредит (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), о сумме остатка основного долга и сумме задолженности по выплате процентов за пользование ипотечный жилищный кредитом (займом).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молодой семьи документы, предусмотренные </w:t>
      </w:r>
      <w:hyperlink w:anchor="P2515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пунктами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25159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могут быть поданы одним из ее совершеннолетних членов либо иным уполномоченным лицом при наличии нотариально оформленной доверенности.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местного самоуправления проверяет достоверность сведений, содержащихся в документах, указанных в </w:t>
      </w:r>
      <w:hyperlink w:anchor="P2515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25159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и в течение 10 дней со дня представления этих документов принимает решение о признании либо об отказе в признании молодой семьи участницей Подпрограммы.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принятом решении, о признании либо об отказе в признании молодой семьи участницей Подпрограммы (с указанием причины отказа) молодая семья в письменной форме уведомляется уполномоченным органом местного самоуправления в течение 10 дней со дня принятия соответствующего решения.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отказа в признании молодой семьи участницей Подпрограммы являются: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несоответствие молодой семьи требованиям, предусмотренным </w:t>
      </w:r>
      <w:hyperlink r:id="rId19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6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непредставление или представление не в полном объеме документов, указанных в </w:t>
      </w:r>
      <w:hyperlink w:anchor="P2515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25159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недостоверность сведений, содержащихся в документах, указанных в </w:t>
      </w:r>
      <w:hyperlink w:anchor="P25152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25159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раннее реализованное право молодой семьи на улучшение жилищных условий с использованием социальной выплаты на приобретение (строительство) жилья.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Повторное обращение молодой семьи с заявлением допускается после устранения оснований для отказа, предусмотренных </w:t>
      </w:r>
      <w:hyperlink w:anchor="P25171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"а"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25173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"в" пункта 6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Уполномоченные органы местного самоуправления в срок до 01 июня года, предшествующего планируемому году предоставления социальной выплаты молодым семьям на приобретение (строительство) жилья (далее - социальная выплата), формируют списки молодых семей - участников программы по </w:t>
      </w:r>
      <w:hyperlink w:anchor="P2521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Порядку и представляют их в департамент по делам молодежи на бумажном носителе, а так же в электронной форме в формате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MSExcel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вместе с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уполномоченного органа местного самоуправления о признании семей участниками Подпрограммы.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молодых семей - участников программы формируются уполномоченными органами местного самоуправления в хронологической последовательности по дате принятия решения уполномоченным органом местного самоуправления о признании молодой семьи участницей Подпрограммы с учетом даты подачи заявления молодой семьи на участие в Подпрограмме.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 в списки молодых семей - участников Подпрограммы включаются молодые семьи: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поставленные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учет в качестве нуждающихся в улучшении жилищных условий с 2019 года;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имеющие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 и более детей;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-не вошедшие в список молодых семей - претендентов на получение социальной выплаты в предыдущем году.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по делам молодежи в течение 15 дней со дня получения от уполномоченных органов местного самоуправления списков молодых семей - участников Подпрограммы проверяет сведения, содержащиеся в списках молодых семей - участников Подпрограммы, а также основания для признания молодых семей участниками Подпрограммы, формирует и утверждает сводный список молодых семей - участников Основного мероприятия «Обеспечение жильем молодых семей» государственной программы Российской Федерации «Обеспечение доступным и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комфортным жильем и коммунальными услугами граждан Российской Федерации».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пяти дней со дня утверждения сводного списка молодых семей - участников Основного мероприятия департамент по делам молодежи размещает его на официальном сайте Администрации Приморского края и органов исполнительной власти Приморского края в информационно-телекоммуникационной сети «Интернет».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Сводный список молодых семей - участников Основного мероприятия представляется департаментом по делам молодежи ответственному исполнителю основного мероприятия в сроки, установленные ответственным исполнителем Основного мероприятия для участия в конкурсном отборе субъектов Российской Федерации в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sectPr w:rsidR="00E8095A" w:rsidRPr="00E8095A" w:rsidSect="007749C3">
          <w:headerReference w:type="default" r:id="rId20"/>
          <w:pgSz w:w="11905" w:h="16838"/>
          <w:pgMar w:top="1134" w:right="425" w:bottom="993" w:left="1418" w:header="720" w:footer="720" w:gutter="0"/>
          <w:cols w:space="720"/>
          <w:noEndnote/>
          <w:docGrid w:linePitch="299"/>
        </w:sect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Порядку формирования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списков молодых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семей–участников Подпрограммы и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по делам молодежи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 сводного списка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семей-участников основного мероприятия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жильем молодых семей»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Глава </w:t>
      </w:r>
      <w:proofErr w:type="spellStart"/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Хорольского</w:t>
      </w:r>
      <w:proofErr w:type="spellEnd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муниципального округа- 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_______________ 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(подпись, дата) (расшифровка подписи)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right="-7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М.П.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молодых семей - участников Подпрограммы,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изъявивших</w:t>
      </w:r>
      <w:proofErr w:type="gramEnd"/>
      <w:r w:rsidRPr="00E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желание получить социальную выплату в планируемом году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___________________________________________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134"/>
        <w:gridCol w:w="1134"/>
        <w:gridCol w:w="1134"/>
        <w:gridCol w:w="1149"/>
        <w:gridCol w:w="1134"/>
        <w:gridCol w:w="1134"/>
        <w:gridCol w:w="1134"/>
        <w:gridCol w:w="1358"/>
        <w:gridCol w:w="1826"/>
        <w:gridCol w:w="1134"/>
        <w:gridCol w:w="1276"/>
        <w:gridCol w:w="1276"/>
      </w:tblGrid>
      <w:tr w:rsidR="00E8095A" w:rsidRPr="00E8095A" w:rsidTr="00FB0A4E">
        <w:trPr>
          <w:trHeight w:val="790"/>
        </w:trPr>
        <w:tc>
          <w:tcPr>
            <w:tcW w:w="1054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(молодые семьи)</w:t>
            </w:r>
          </w:p>
        </w:tc>
        <w:tc>
          <w:tcPr>
            <w:tcW w:w="7953" w:type="dxa"/>
            <w:gridSpan w:val="7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Данные о членах молодой семьи</w:t>
            </w:r>
          </w:p>
        </w:tc>
        <w:tc>
          <w:tcPr>
            <w:tcW w:w="1358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включения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 в список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участников подпрограммы</w:t>
            </w:r>
          </w:p>
        </w:tc>
        <w:tc>
          <w:tcPr>
            <w:tcW w:w="182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Орган местного самоуправления, на основании</w:t>
            </w:r>
          </w:p>
        </w:tc>
        <w:tc>
          <w:tcPr>
            <w:tcW w:w="3686" w:type="dxa"/>
            <w:gridSpan w:val="3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Расчетная стоимость жилья</w:t>
            </w:r>
          </w:p>
        </w:tc>
      </w:tr>
      <w:tr w:rsidR="00E8095A" w:rsidRPr="00E8095A" w:rsidTr="00FB0A4E">
        <w:trPr>
          <w:trHeight w:val="1187"/>
        </w:trPr>
        <w:tc>
          <w:tcPr>
            <w:tcW w:w="1054" w:type="dxa"/>
            <w:vMerge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членов семьи (человек)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Ф.И.О., степень родства</w:t>
            </w:r>
          </w:p>
        </w:tc>
        <w:tc>
          <w:tcPr>
            <w:tcW w:w="2283" w:type="dxa"/>
            <w:gridSpan w:val="2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Российской Федерации или свидетельство о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число, месяц, год рождения</w:t>
            </w:r>
          </w:p>
        </w:tc>
        <w:tc>
          <w:tcPr>
            <w:tcW w:w="2268" w:type="dxa"/>
            <w:gridSpan w:val="2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свидетельство о браке</w:t>
            </w:r>
          </w:p>
        </w:tc>
        <w:tc>
          <w:tcPr>
            <w:tcW w:w="1358" w:type="dxa"/>
            <w:vMerge/>
          </w:tcPr>
          <w:p w:rsidR="00E8095A" w:rsidRPr="00E8095A" w:rsidRDefault="00E8095A" w:rsidP="00E809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решения, которого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молодая семья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включена</w:t>
            </w:r>
            <w:proofErr w:type="gramEnd"/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 в список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1 кв. м (тыс. рублей)</w:t>
            </w:r>
          </w:p>
        </w:tc>
        <w:tc>
          <w:tcPr>
            <w:tcW w:w="127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ind w:firstLine="1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размер общей площади жилого помещения</w:t>
            </w:r>
          </w:p>
        </w:tc>
        <w:tc>
          <w:tcPr>
            <w:tcW w:w="127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(гр. 11 x гр. 12)</w:t>
            </w:r>
          </w:p>
        </w:tc>
      </w:tr>
      <w:tr w:rsidR="00E8095A" w:rsidRPr="00E8095A" w:rsidTr="00FB0A4E">
        <w:trPr>
          <w:trHeight w:val="173"/>
        </w:trPr>
        <w:tc>
          <w:tcPr>
            <w:tcW w:w="105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4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35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82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27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7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</w:tbl>
    <w:p w:rsidR="00E8095A" w:rsidRPr="00E8095A" w:rsidRDefault="00E8095A" w:rsidP="00E809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95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134"/>
        <w:gridCol w:w="1134"/>
        <w:gridCol w:w="1134"/>
        <w:gridCol w:w="1149"/>
        <w:gridCol w:w="1134"/>
        <w:gridCol w:w="1134"/>
        <w:gridCol w:w="1134"/>
        <w:gridCol w:w="1358"/>
        <w:gridCol w:w="1701"/>
        <w:gridCol w:w="1134"/>
        <w:gridCol w:w="1276"/>
        <w:gridCol w:w="1401"/>
      </w:tblGrid>
      <w:tr w:rsidR="00E8095A" w:rsidRPr="00E8095A" w:rsidTr="00FB0A4E">
        <w:trPr>
          <w:trHeight w:val="450"/>
        </w:trPr>
        <w:tc>
          <w:tcPr>
            <w:tcW w:w="1054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3" w:type="dxa"/>
            <w:gridSpan w:val="2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О рождении несовершеннолетнего, не достигшего 14 лет</w:t>
            </w:r>
          </w:p>
        </w:tc>
        <w:tc>
          <w:tcPr>
            <w:tcW w:w="1134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</w:t>
            </w:r>
          </w:p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на семью, кв. м</w:t>
            </w:r>
          </w:p>
        </w:tc>
        <w:tc>
          <w:tcPr>
            <w:tcW w:w="1401" w:type="dxa"/>
            <w:vMerge w:val="restart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95A" w:rsidRPr="00E8095A" w:rsidTr="00E8095A">
        <w:trPr>
          <w:trHeight w:val="474"/>
        </w:trPr>
        <w:tc>
          <w:tcPr>
            <w:tcW w:w="1054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14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кем, когда </w:t>
            </w:r>
            <w:proofErr w:type="gramStart"/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1134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кем, когда выдано</w:t>
            </w:r>
          </w:p>
        </w:tc>
        <w:tc>
          <w:tcPr>
            <w:tcW w:w="1358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vMerge/>
          </w:tcPr>
          <w:p w:rsidR="00E8095A" w:rsidRPr="00E8095A" w:rsidRDefault="00E8095A" w:rsidP="00E80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95A" w:rsidRPr="00E8095A" w:rsidTr="00FB0A4E">
        <w:trPr>
          <w:trHeight w:val="186"/>
        </w:trPr>
        <w:tc>
          <w:tcPr>
            <w:tcW w:w="105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095A" w:rsidRPr="00E8095A" w:rsidTr="00FB0A4E">
        <w:trPr>
          <w:trHeight w:val="462"/>
        </w:trPr>
        <w:tc>
          <w:tcPr>
            <w:tcW w:w="105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95A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специалисты </w:t>
            </w:r>
            <w:hyperlink w:anchor="P25295" w:history="1">
              <w:r w:rsidRPr="00E8095A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8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</w:tcPr>
          <w:p w:rsidR="00E8095A" w:rsidRPr="00E8095A" w:rsidRDefault="00E8095A" w:rsidP="00E809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- специалисты - члены молодых семей, занятых перспективными исследованиями и разработками в области создания наукоемкой и высокотехнологичной продукции для нужд обороны и безопасности государства.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_______________ __________________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95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сформировавшего список) (подпись, дата) (расшифровка подписи)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sectPr w:rsidR="00E8095A" w:rsidRPr="00E8095A" w:rsidSect="00DF66B4">
          <w:pgSz w:w="16838" w:h="11905" w:orient="landscape"/>
          <w:pgMar w:top="568" w:right="1134" w:bottom="284" w:left="1134" w:header="0" w:footer="0" w:gutter="0"/>
          <w:cols w:space="720"/>
        </w:sectPr>
      </w:pPr>
    </w:p>
    <w:p w:rsidR="00E8095A" w:rsidRPr="00E8095A" w:rsidRDefault="00E8095A" w:rsidP="00E8095A">
      <w:pPr>
        <w:framePr w:hSpace="180" w:wrap="around" w:vAnchor="text" w:hAnchor="page" w:x="1856" w:y="16"/>
        <w:adjustRightInd w:val="0"/>
        <w:spacing w:after="0" w:line="240" w:lineRule="auto"/>
        <w:ind w:right="285" w:firstLine="4536"/>
        <w:suppressOverlap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№5</w:t>
      </w:r>
    </w:p>
    <w:p w:rsidR="00E8095A" w:rsidRPr="00E8095A" w:rsidRDefault="00E8095A" w:rsidP="00E8095A">
      <w:pPr>
        <w:framePr w:hSpace="180" w:wrap="around" w:vAnchor="text" w:hAnchor="page" w:x="1856" w:y="16"/>
        <w:adjustRightInd w:val="0"/>
        <w:spacing w:after="0" w:line="240" w:lineRule="auto"/>
        <w:ind w:right="285" w:firstLine="4536"/>
        <w:suppressOverlap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95A" w:rsidRPr="00E8095A" w:rsidRDefault="00E8095A" w:rsidP="00E8095A">
      <w:pPr>
        <w:framePr w:hSpace="180" w:wrap="around" w:vAnchor="text" w:hAnchor="page" w:x="1856" w:y="16"/>
        <w:adjustRightInd w:val="0"/>
        <w:spacing w:after="0" w:line="240" w:lineRule="auto"/>
        <w:ind w:right="285" w:firstLine="4536"/>
        <w:suppressOverlap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подпрограмме</w:t>
      </w:r>
    </w:p>
    <w:p w:rsidR="00E8095A" w:rsidRPr="00E8095A" w:rsidRDefault="00E8095A" w:rsidP="00E8095A">
      <w:pPr>
        <w:framePr w:hSpace="180" w:wrap="around" w:vAnchor="text" w:hAnchor="page" w:x="1856" w:y="16"/>
        <w:adjustRightInd w:val="0"/>
        <w:spacing w:after="0" w:line="240" w:lineRule="auto"/>
        <w:ind w:right="285" w:firstLine="4536"/>
        <w:suppressOverlap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«Обеспечение жильем молодых семей</w:t>
      </w:r>
    </w:p>
    <w:p w:rsidR="00E8095A" w:rsidRPr="00E8095A" w:rsidRDefault="00E8095A" w:rsidP="00E8095A">
      <w:pPr>
        <w:framePr w:hSpace="180" w:wrap="around" w:vAnchor="text" w:hAnchor="page" w:x="1856" w:y="16"/>
        <w:adjustRightInd w:val="0"/>
        <w:spacing w:after="0" w:line="240" w:lineRule="auto"/>
        <w:ind w:right="285" w:firstLine="4536"/>
        <w:suppressOverlap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</w:t>
      </w:r>
    </w:p>
    <w:p w:rsidR="00E8095A" w:rsidRPr="00E8095A" w:rsidRDefault="00E8095A" w:rsidP="00E8095A">
      <w:pPr>
        <w:framePr w:hSpace="180" w:wrap="around" w:vAnchor="text" w:hAnchor="page" w:x="1856" w:y="16"/>
        <w:adjustRightInd w:val="0"/>
        <w:spacing w:after="0" w:line="240" w:lineRule="auto"/>
        <w:ind w:right="285" w:firstLine="4536"/>
        <w:suppressOverlap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2022-2024 годы</w:t>
      </w:r>
    </w:p>
    <w:p w:rsidR="00E8095A" w:rsidRPr="00E8095A" w:rsidRDefault="00E8095A" w:rsidP="00E8095A">
      <w:pPr>
        <w:framePr w:hSpace="180" w:wrap="around" w:vAnchor="text" w:hAnchor="page" w:x="1856" w:y="16"/>
        <w:widowControl w:val="0"/>
        <w:autoSpaceDE w:val="0"/>
        <w:autoSpaceDN w:val="0"/>
        <w:adjustRightInd w:val="0"/>
        <w:spacing w:after="0" w:line="240" w:lineRule="auto"/>
        <w:ind w:left="4962" w:right="285" w:firstLine="4536"/>
        <w:suppressOverlap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ВНЕСЕНИЯ ИЗМЕНЕНИЙ В СФОРМИРОВАННЫЕ СПИСКИ МОЛОДЫХ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СЕМЕЙ УЧАСТНИКОВ ПОДПРОГРАММЫ И УТВЕРЖДЕННЫЙ СПИСОК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МОЛОДЫХ СЕМЕЙ УЧАСТНИКОВ ОСНОВНОГО МЕРОПРИЯТИЯ «ОБЕСПЕЧЕНИЕ ЖИЛЬЕМ МОЛОДЫХ СЕМЕЙ» НА ПОЛУЧЕНИЕ СОЦИАЛЬНОЙ ВЫПЛАТЫ В СООТВЕТСТВУЮЩЕМ ГОДУ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внесения изменений в сформированные списки молодых семей - участников Подпрограммы и утвержденный список молодых семей - претендентов на получение социальной выплаты в соответствующем году определяет основания и порядок внесения изменений в сформированные списки молодых семей - участников муниципальной Подпрограммы «Обеспечение жильем молодых семей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округа» на 2022-2024 годы (далее - Подпрограмма), и основного мероприятия «Обеспечение жильем молодых семей» государственной программы Российской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«Обеспечение доступным и качественным жильем и коммунальными услугами граждан Российской Федерации (далее – Основное мероприятие), изъявивших желание получить социальную выплату в соответствующем году (далее - списки молодых семей - участников программы), и сводный список молодых семей - претендентов на получение социальной выплаты в соответствующем году (далее - список молодых семей-участников Основного мероприятия).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списки молодых семей - участников Подпрограммы вносятся 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внесения изменений в списки молодых семей - участников Подпрограммы являются: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отказ молодой семьи от участия в Подпрограмме.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 об отказе от участия в Подпрограмме от молодых семей составляются в произвольной форме, подписываются одним из супругов;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снятие молодой семьи с учета в качестве нуждающихся в жилых помещениях;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3) достижение возраста 36 лет одним из супругов в молодой семье;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изменение объемов финансирования социальных выплат молодым семьям за счет бюджетных средств, предусмотренных в виде субсидий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Хорольскому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округу.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изменениями объемов финансирования, в данном случае, понимается изменение объемов сре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аевого и местного бюджетов, в том числе при недостаточном поступлении средств из федерального бюджета на данные цели. В этом случае, молодые семьи, не попавшие в список молодых семей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–у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Подпрограммы, включаются в приоритетном порядке в список молодых семей – участников Подпрограммы на следующий год в хронологической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последовательности по дате принятия решения 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 признании молодой семьи участницей Подпрограммы с учетом даты подачи заявления молодой семьи на участие в Подпрограмме, за исключением семей, имеющих трех и более детей;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утвержденных нормативов средней рыночной стоимости одного квадратного метра жилья, используемой для расчета социальной выплаты на территории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изменение численного состава молодой семьи - участницы Подпрограммы (в случае развода, смерти одного из членов молодой семьи).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внесения изменений в численный состав семьи молодая семья подает заявление в администрацию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 указанием причины изменений, представляет документ, удостоверяющий факт развода, смерти, а также документы, подтверждающие признание молодой семьи, в новом составе, нуждающейся в жилых помещениях 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предоставляемой социальной выплаты, предусмотренные в Порядке и условиях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изменение очередности по списку молодых семей - участников Подпрограммы, вошедших в список молодых семей – участников основного мероприятия на получение социальной выплаты в соответствующем году. Молодые семьи включаются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список в хронологической последовательности с учетом объема высвободившихся средств субсидий в зависимости от даты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 признании молодой семьи участницей Подпрограммы;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подтверждение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молодой семьей платежеспособности;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9) изменение реквизитов документов, удостоверяющих личность членов молодой семьи.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оснований, указанных в </w:t>
      </w:r>
      <w:hyperlink w:anchor="P25336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3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администрация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течение 10 рабочих дней со дня выявления соответствующих оснований направляет в департамент по делам молодежи Приморского края (далее - департамент молодежи) письменное уведомление о внесении изменений в списки молодых семей – участников Подпрограммы с приложением следующих документов: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решений администрации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о внесении изменений в списки молодых семей - участников Подпрограммы по каждой молодой семье, с обоснованием причин внесения соответствующих изменений;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списка молодых семей - участников Подпрограммы (с учетом внесенных в него изменений).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Список молодых семей - участников Подпрограммы предоставляется на бумажном носителе и по электронной почте на адрес департамента молодежи в формате MS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Список молодых семей - участников Подпрограммы должен быть подписан главой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- главой администрации муниципального округа и заверен печатью.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молодежи на основании документов, указанных в </w:t>
      </w:r>
      <w:hyperlink w:anchor="P2534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настоящего Порядка, в течение 15 рабочих дней со дня их получения вносит изменения в сводный список молодых семей - участников основного мероприятия и в течение пяти дней со дня внесения изменений в сводный список размещает его на сайте Администрации Приморского края и органов исполнительной власти Приморского края информационно телекоммуникационной сети Интернет.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внесения департаментом молодежи изменений в список молодых семей – участников основного мероприятия являются: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основания, предусмотренные </w:t>
      </w:r>
      <w:hyperlink w:anchor="P25337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1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5339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w:anchor="P25341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25347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 пункта 3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непредставление или представление не в полном объеме молодыми семьями - участниками основного мероприятия заявлений о выдачи свидетельств о праве на получение социальной выплаты в соответствующем году (далее - Свидетельство), а также документов, предусмотренных </w:t>
      </w:r>
      <w:hyperlink w:anchor="P25154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"б"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25158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"д" пункта 2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25161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подпунктами "б"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25164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"д"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25166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"ж" пункта 3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формирования администрацией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списков молодых семей - участников Подпрограммы и департаментом по делам</w:t>
      </w:r>
      <w:proofErr w:type="gram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молодежи Приморского края сводного списка молодых семей - участников основного мероприятия, для получения Свидетельств в соответствующем году в срок;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отказ молодой семьи от получения социальной выплаты в течение срока действия Свидетельства или возникновения иных причин, согласно которым молодая семья-участница основного мероприятия не смогла воспользоваться социальной выплатой.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E8095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наличии оснований для внесения изменений в список молодых семей-участников Подпрограммы администрация </w:t>
      </w:r>
      <w:proofErr w:type="spell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Хорольского</w:t>
      </w:r>
      <w:proofErr w:type="spellEnd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течение 10 рабочих дней после выявления данных оснований представляет в департамент молодежи уведомление о необходимости внесения изменений в сводный список молодых семей-участников Основного мероприятия (далее - уведомление) с указанием основания для их внесения.</w:t>
      </w: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Pr="00E809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proofErr w:type="gramStart"/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 молодежи в течение 15 рабочих дней со дня получения документов, указанных в </w:t>
      </w:r>
      <w:hyperlink w:anchor="P25357" w:history="1">
        <w:r w:rsidRPr="00E809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7</w:t>
        </w:r>
      </w:hyperlink>
      <w:r w:rsidRPr="00E80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вносит изменения в список молодых семей-участников основного мероприятия и в течение пяти дней со дня внесения изменений в список молодых семей-участников основного мероприятия размещает его на сайте Администрации Приморского края и органов исполнительной власти Приморского края в информационно-телекоммуникационной сети «Интернет».</w:t>
      </w:r>
      <w:proofErr w:type="gramEnd"/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E8095A" w:rsidRPr="00E8095A" w:rsidRDefault="00E8095A" w:rsidP="00E809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20605B" w:rsidRDefault="0020605B"/>
    <w:sectPr w:rsidR="0020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9B" w:rsidRDefault="00E8095A" w:rsidP="00A4459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CB369B" w:rsidRDefault="00E809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9B" w:rsidRDefault="00E8095A" w:rsidP="007749C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22</w:t>
    </w:r>
    <w:r>
      <w:rPr>
        <w:rStyle w:val="a8"/>
      </w:rPr>
      <w:fldChar w:fldCharType="end"/>
    </w:r>
  </w:p>
  <w:p w:rsidR="00CB369B" w:rsidRDefault="00E80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165FBA"/>
    <w:lvl w:ilvl="0">
      <w:numFmt w:val="bullet"/>
      <w:lvlText w:val="*"/>
      <w:lvlJc w:val="left"/>
    </w:lvl>
  </w:abstractNum>
  <w:abstractNum w:abstractNumId="1">
    <w:nsid w:val="0649464D"/>
    <w:multiLevelType w:val="hybridMultilevel"/>
    <w:tmpl w:val="4FCA5F16"/>
    <w:lvl w:ilvl="0" w:tplc="4D60B9B8">
      <w:start w:val="1"/>
      <w:numFmt w:val="decimal"/>
      <w:lvlText w:val="%1."/>
      <w:lvlJc w:val="left"/>
      <w:pPr>
        <w:ind w:left="146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776F85"/>
    <w:multiLevelType w:val="singleLevel"/>
    <w:tmpl w:val="26B445D2"/>
    <w:lvl w:ilvl="0">
      <w:start w:val="2010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111057BB"/>
    <w:multiLevelType w:val="singleLevel"/>
    <w:tmpl w:val="BBF66B38"/>
    <w:lvl w:ilvl="0">
      <w:start w:val="10"/>
      <w:numFmt w:val="decimal"/>
      <w:lvlText w:val="7.%1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4">
    <w:nsid w:val="259624E0"/>
    <w:multiLevelType w:val="hybridMultilevel"/>
    <w:tmpl w:val="EC8C3C46"/>
    <w:lvl w:ilvl="0" w:tplc="1F9AAF4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F85856"/>
    <w:multiLevelType w:val="singleLevel"/>
    <w:tmpl w:val="5750170A"/>
    <w:lvl w:ilvl="0">
      <w:start w:val="10"/>
      <w:numFmt w:val="decimal"/>
      <w:lvlText w:val="%1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6">
    <w:nsid w:val="27924E75"/>
    <w:multiLevelType w:val="hybridMultilevel"/>
    <w:tmpl w:val="3AD4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93613"/>
    <w:multiLevelType w:val="hybridMultilevel"/>
    <w:tmpl w:val="954052A8"/>
    <w:lvl w:ilvl="0" w:tplc="73DC5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753CEF"/>
    <w:multiLevelType w:val="hybridMultilevel"/>
    <w:tmpl w:val="B958DE82"/>
    <w:lvl w:ilvl="0" w:tplc="8460BFF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315473"/>
    <w:multiLevelType w:val="singleLevel"/>
    <w:tmpl w:val="1542DC82"/>
    <w:lvl w:ilvl="0">
      <w:start w:val="1"/>
      <w:numFmt w:val="decimal"/>
      <w:lvlText w:val="7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45EF17A8"/>
    <w:multiLevelType w:val="hybridMultilevel"/>
    <w:tmpl w:val="BED2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515F5"/>
    <w:multiLevelType w:val="singleLevel"/>
    <w:tmpl w:val="F4C25CC4"/>
    <w:lvl w:ilvl="0">
      <w:start w:val="1"/>
      <w:numFmt w:val="decimal"/>
      <w:lvlText w:val="9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>
    <w:nsid w:val="46E57B3B"/>
    <w:multiLevelType w:val="hybridMultilevel"/>
    <w:tmpl w:val="0F024430"/>
    <w:lvl w:ilvl="0" w:tplc="2C9CC174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63409D"/>
    <w:multiLevelType w:val="hybridMultilevel"/>
    <w:tmpl w:val="0D3C1934"/>
    <w:lvl w:ilvl="0" w:tplc="85F6AD2C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54B26"/>
    <w:multiLevelType w:val="singleLevel"/>
    <w:tmpl w:val="7B226610"/>
    <w:lvl w:ilvl="0">
      <w:start w:val="1"/>
      <w:numFmt w:val="decimal"/>
      <w:lvlText w:val="3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>
    <w:nsid w:val="5E0111BB"/>
    <w:multiLevelType w:val="multilevel"/>
    <w:tmpl w:val="AFCA7E7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>
    <w:nsid w:val="64C63E1A"/>
    <w:multiLevelType w:val="singleLevel"/>
    <w:tmpl w:val="6F022152"/>
    <w:lvl w:ilvl="0">
      <w:start w:val="8"/>
      <w:numFmt w:val="decimal"/>
      <w:lvlText w:val="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>
    <w:nsid w:val="70D43FE5"/>
    <w:multiLevelType w:val="singleLevel"/>
    <w:tmpl w:val="030C1A8E"/>
    <w:lvl w:ilvl="0">
      <w:start w:val="2010"/>
      <w:numFmt w:val="decimal"/>
      <w:lvlText w:val="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3"/>
    <w:lvlOverride w:ilvl="0">
      <w:lvl w:ilvl="0">
        <w:start w:val="13"/>
        <w:numFmt w:val="decimal"/>
        <w:lvlText w:val="7.%1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11"/>
  </w:num>
  <w:num w:numId="7">
    <w:abstractNumId w:val="5"/>
  </w:num>
  <w:num w:numId="8">
    <w:abstractNumId w:val="2"/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93"/>
    <w:rsid w:val="0020605B"/>
    <w:rsid w:val="00C45193"/>
    <w:rsid w:val="00E8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09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095A"/>
    <w:pPr>
      <w:keepNext/>
      <w:spacing w:after="0" w:line="240" w:lineRule="auto"/>
      <w:ind w:left="851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095A"/>
    <w:pPr>
      <w:keepNext/>
      <w:spacing w:after="0" w:line="240" w:lineRule="auto"/>
      <w:outlineLvl w:val="2"/>
    </w:pPr>
    <w:rPr>
      <w:rFonts w:ascii="13" w:eastAsia="Times New Roman" w:hAnsi="13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9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95A"/>
    <w:rPr>
      <w:rFonts w:ascii="13" w:eastAsia="Times New Roman" w:hAnsi="13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95A"/>
  </w:style>
  <w:style w:type="paragraph" w:styleId="a3">
    <w:name w:val="Balloon Text"/>
    <w:basedOn w:val="a"/>
    <w:link w:val="a4"/>
    <w:uiPriority w:val="99"/>
    <w:semiHidden/>
    <w:rsid w:val="00E809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5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8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809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E8095A"/>
  </w:style>
  <w:style w:type="paragraph" w:styleId="a9">
    <w:name w:val="footer"/>
    <w:basedOn w:val="a"/>
    <w:link w:val="aa"/>
    <w:uiPriority w:val="99"/>
    <w:rsid w:val="00E8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0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E8095A"/>
    <w:pPr>
      <w:spacing w:after="160" w:line="240" w:lineRule="exact"/>
    </w:pPr>
    <w:rPr>
      <w:rFonts w:ascii="Verdana" w:eastAsia="Times New Roman" w:hAnsi="Verdana" w:cs="Verdana"/>
      <w:bCs/>
      <w:color w:val="000000"/>
      <w:sz w:val="28"/>
      <w:szCs w:val="28"/>
      <w:lang w:val="en-US"/>
    </w:rPr>
  </w:style>
  <w:style w:type="character" w:customStyle="1" w:styleId="ac">
    <w:name w:val="Цветовое выделение"/>
    <w:uiPriority w:val="99"/>
    <w:rsid w:val="00E8095A"/>
    <w:rPr>
      <w:b/>
      <w:bCs/>
      <w:color w:val="000080"/>
      <w:sz w:val="20"/>
      <w:szCs w:val="20"/>
    </w:rPr>
  </w:style>
  <w:style w:type="character" w:customStyle="1" w:styleId="ad">
    <w:name w:val="Знак Знак"/>
    <w:rsid w:val="00E8095A"/>
    <w:rPr>
      <w:b/>
      <w:sz w:val="28"/>
      <w:szCs w:val="24"/>
      <w:lang w:val="ru-RU" w:eastAsia="ru-RU" w:bidi="ar-SA"/>
    </w:rPr>
  </w:style>
  <w:style w:type="paragraph" w:customStyle="1" w:styleId="ae">
    <w:name w:val="Знак Знак Знак Знак Знак Знак Знак"/>
    <w:basedOn w:val="a"/>
    <w:rsid w:val="00E809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locked/>
    <w:rsid w:val="00E8095A"/>
    <w:rPr>
      <w:rFonts w:cs="Times New Roman"/>
      <w:sz w:val="28"/>
      <w:lang w:val="ru-RU" w:eastAsia="ru-RU" w:bidi="ar-SA"/>
    </w:rPr>
  </w:style>
  <w:style w:type="paragraph" w:styleId="af">
    <w:name w:val="Title"/>
    <w:basedOn w:val="a"/>
    <w:link w:val="af0"/>
    <w:qFormat/>
    <w:rsid w:val="00E8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8095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1">
    <w:name w:val="Body Text"/>
    <w:basedOn w:val="a"/>
    <w:link w:val="af2"/>
    <w:rsid w:val="00E8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E809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809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8095A"/>
    <w:pPr>
      <w:ind w:left="720"/>
      <w:contextualSpacing/>
    </w:pPr>
    <w:rPr>
      <w:rFonts w:ascii="Calibri" w:eastAsia="Calibri" w:hAnsi="Calibri" w:cs="Times New Roman"/>
    </w:rPr>
  </w:style>
  <w:style w:type="paragraph" w:styleId="af4">
    <w:name w:val="Normal (Web)"/>
    <w:basedOn w:val="a"/>
    <w:rsid w:val="00E8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8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809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09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809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E8095A"/>
    <w:rPr>
      <w:b/>
      <w:bCs/>
      <w:color w:val="106BBE"/>
      <w:sz w:val="26"/>
      <w:szCs w:val="26"/>
    </w:rPr>
  </w:style>
  <w:style w:type="paragraph" w:customStyle="1" w:styleId="12">
    <w:name w:val="Обычный1"/>
    <w:rsid w:val="00E8095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80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09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8095A"/>
    <w:pPr>
      <w:keepNext/>
      <w:spacing w:after="0" w:line="240" w:lineRule="auto"/>
      <w:ind w:left="851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8095A"/>
    <w:pPr>
      <w:keepNext/>
      <w:spacing w:after="0" w:line="240" w:lineRule="auto"/>
      <w:outlineLvl w:val="2"/>
    </w:pPr>
    <w:rPr>
      <w:rFonts w:ascii="13" w:eastAsia="Times New Roman" w:hAnsi="13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09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95A"/>
    <w:rPr>
      <w:rFonts w:ascii="13" w:eastAsia="Times New Roman" w:hAnsi="13" w:cs="Times New Roman"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8095A"/>
  </w:style>
  <w:style w:type="paragraph" w:styleId="a3">
    <w:name w:val="Balloon Text"/>
    <w:basedOn w:val="a"/>
    <w:link w:val="a4"/>
    <w:uiPriority w:val="99"/>
    <w:semiHidden/>
    <w:rsid w:val="00E8095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8095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8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809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E8095A"/>
  </w:style>
  <w:style w:type="paragraph" w:styleId="a9">
    <w:name w:val="footer"/>
    <w:basedOn w:val="a"/>
    <w:link w:val="aa"/>
    <w:uiPriority w:val="99"/>
    <w:rsid w:val="00E80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80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E8095A"/>
    <w:pPr>
      <w:spacing w:after="160" w:line="240" w:lineRule="exact"/>
    </w:pPr>
    <w:rPr>
      <w:rFonts w:ascii="Verdana" w:eastAsia="Times New Roman" w:hAnsi="Verdana" w:cs="Verdana"/>
      <w:bCs/>
      <w:color w:val="000000"/>
      <w:sz w:val="28"/>
      <w:szCs w:val="28"/>
      <w:lang w:val="en-US"/>
    </w:rPr>
  </w:style>
  <w:style w:type="character" w:customStyle="1" w:styleId="ac">
    <w:name w:val="Цветовое выделение"/>
    <w:uiPriority w:val="99"/>
    <w:rsid w:val="00E8095A"/>
    <w:rPr>
      <w:b/>
      <w:bCs/>
      <w:color w:val="000080"/>
      <w:sz w:val="20"/>
      <w:szCs w:val="20"/>
    </w:rPr>
  </w:style>
  <w:style w:type="character" w:customStyle="1" w:styleId="ad">
    <w:name w:val="Знак Знак"/>
    <w:rsid w:val="00E8095A"/>
    <w:rPr>
      <w:b/>
      <w:sz w:val="28"/>
      <w:szCs w:val="24"/>
      <w:lang w:val="ru-RU" w:eastAsia="ru-RU" w:bidi="ar-SA"/>
    </w:rPr>
  </w:style>
  <w:style w:type="paragraph" w:customStyle="1" w:styleId="ae">
    <w:name w:val="Знак Знак Знак Знак Знак Знак Знак"/>
    <w:basedOn w:val="a"/>
    <w:rsid w:val="00E809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locked/>
    <w:rsid w:val="00E8095A"/>
    <w:rPr>
      <w:rFonts w:cs="Times New Roman"/>
      <w:sz w:val="28"/>
      <w:lang w:val="ru-RU" w:eastAsia="ru-RU" w:bidi="ar-SA"/>
    </w:rPr>
  </w:style>
  <w:style w:type="paragraph" w:styleId="af">
    <w:name w:val="Title"/>
    <w:basedOn w:val="a"/>
    <w:link w:val="af0"/>
    <w:qFormat/>
    <w:rsid w:val="00E8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8095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1">
    <w:name w:val="Body Text"/>
    <w:basedOn w:val="a"/>
    <w:link w:val="af2"/>
    <w:rsid w:val="00E8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E809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E809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E8095A"/>
    <w:pPr>
      <w:ind w:left="720"/>
      <w:contextualSpacing/>
    </w:pPr>
    <w:rPr>
      <w:rFonts w:ascii="Calibri" w:eastAsia="Calibri" w:hAnsi="Calibri" w:cs="Times New Roman"/>
    </w:rPr>
  </w:style>
  <w:style w:type="paragraph" w:styleId="af4">
    <w:name w:val="Normal (Web)"/>
    <w:basedOn w:val="a"/>
    <w:rsid w:val="00E8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E8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809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09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809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E8095A"/>
    <w:rPr>
      <w:b/>
      <w:bCs/>
      <w:color w:val="106BBE"/>
      <w:sz w:val="26"/>
      <w:szCs w:val="26"/>
    </w:rPr>
  </w:style>
  <w:style w:type="paragraph" w:customStyle="1" w:styleId="12">
    <w:name w:val="Обычный1"/>
    <w:rsid w:val="00E8095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E80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8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46AA70CB96C9C004BD550B6315FEF33368118F1D0C0AA541232A23B22ECDBDE808765AD9A07074q4mDA" TargetMode="External"/><Relationship Id="rId13" Type="http://schemas.openxmlformats.org/officeDocument/2006/relationships/hyperlink" Target="consultantplus://offline/ref=54FA63B2BF532514AA0EE6E90AD3FF995CD89748A83A7454DF84A0AAF90532B9153A44447D29w8M3A" TargetMode="External"/><Relationship Id="rId18" Type="http://schemas.openxmlformats.org/officeDocument/2006/relationships/hyperlink" Target="consultantplus://offline/ref=54FA63B2BF532514AA0EE6E90AD3FF995CD89748A83A7454DF84A0AAF90532B9153A44447D29w8M0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4FA63B2BF532514AA0EE6E90AD3FF995CD89748A83A7454DF84A0AAF90532B9153A44447D29w8M7A" TargetMode="External"/><Relationship Id="rId17" Type="http://schemas.openxmlformats.org/officeDocument/2006/relationships/hyperlink" Target="consultantplus://offline/ref=54FA63B2BF532514AA0EE6E90AD3FF995CD89748A83A7454DF84A0AAF90532B9153A44447E2Cw8M2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FA63B2BF532514AA0EE6E90AD3FF995CD89748A83A7454DF84A0AAF90532B9153A44447D29w8M2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../../&#1053;&#1080;&#1082;&#1086;&#1083;&#1072;&#1081;%20&#1053;&#1080;&#1082;&#1086;&#1083;&#1072;&#1077;&#1074;&#1080;&#1095;/AppData/Local/Microsoft/Users/&#1040;&#1076;&#1084;&#1080;&#1085;&#1080;&#1089;&#1090;&#1088;&#1072;&#1090;&#1086;&#1088;/Desktop/&#1055;&#1088;&#1086;&#1075;&#1088;&#1072;&#1084;&#1084;&#1072;%20&#1086;&#1073;&#1077;&#1089;&#1087;&#1077;&#1095;&#1077;&#1085;&#1080;&#1077;%20&#1078;&#1080;&#1083;&#1100;&#1077;&#1084;/16_&#1059;&#1057;&#1057;&#1059;&#1056;&#1048;&#1049;&#1057;&#1050;&#1048;&#1049;%20&#1043;&#1054;&#1056;&#1054;&#1044;&#1057;&#1050;&#1054;&#1049;%20&#1054;&#1050;&#1056;&#1059;&#1043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FA63B2BF532514AA0EE6E90AD3FF995FD19F4BAC397454DF84A0AAF90532B9153A4444782A8633w9M9A" TargetMode="External"/><Relationship Id="rId10" Type="http://schemas.openxmlformats.org/officeDocument/2006/relationships/hyperlink" Target="../../../../&#1053;&#1080;&#1082;&#1086;&#1083;&#1072;&#1081;%20&#1053;&#1080;&#1082;&#1086;&#1083;&#1072;&#1077;&#1074;&#1080;&#1095;/AppData/Local/Microsoft/Users/&#1040;&#1076;&#1084;&#1080;&#1085;&#1080;&#1089;&#1090;&#1088;&#1072;&#1090;&#1086;&#1088;/Desktop/&#1055;&#1088;&#1086;&#1075;&#1088;&#1072;&#1084;&#1084;&#1072;%20&#1086;&#1073;&#1077;&#1089;&#1087;&#1077;&#1095;&#1077;&#1085;&#1080;&#1077;%20&#1078;&#1080;&#1083;&#1100;&#1077;&#1084;/16_&#1059;&#1057;&#1057;&#1059;&#1056;&#1048;&#1049;&#1057;&#1050;&#1048;&#1049;%20&#1043;&#1054;&#1056;&#1054;&#1044;&#1057;&#1050;&#1054;&#1049;%20&#1054;&#1050;&#1056;&#1059;&#1043;.docx" TargetMode="External"/><Relationship Id="rId19" Type="http://schemas.openxmlformats.org/officeDocument/2006/relationships/hyperlink" Target="consultantplus://offline/ref=54FA63B2BF532514AA0EE6E90AD3FF995CD89748A83A7454DF84A0AAF90532B9153A44447D2Ew8M7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46AA70CB96C9C004BD550B6315FEF33368118F1D0C0AA541232A23B22ECDBDE808765AD9A07074q4mDA" TargetMode="External"/><Relationship Id="rId14" Type="http://schemas.openxmlformats.org/officeDocument/2006/relationships/hyperlink" Target="consultantplus://offline/ref=54FA63B2BF532514AA0EE6E90AD3FF995CD89748A83A7454DF84A0AAF90532B9153A44447E2Cw8M2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4708-C25B-44C5-B455-537F78C5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9008</Words>
  <Characters>51349</Characters>
  <Application>Microsoft Office Word</Application>
  <DocSecurity>0</DocSecurity>
  <Lines>427</Lines>
  <Paragraphs>120</Paragraphs>
  <ScaleCrop>false</ScaleCrop>
  <Company/>
  <LinksUpToDate>false</LinksUpToDate>
  <CharactersWithSpaces>60237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2022-05-13T05:09:00Z</dcterms:created>
  <dcterms:modified xsi:type="dcterms:W3CDTF">2022-05-13T05:14:00Z</dcterms:modified>
</cp:coreProperties>
</file>